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1A9F4" w14:textId="77777777" w:rsidR="00FE0372" w:rsidRPr="003A1874" w:rsidRDefault="00122237" w:rsidP="003A1874">
      <w:pPr>
        <w:jc w:val="right"/>
        <w:rPr>
          <w:rFonts w:asciiTheme="majorHAnsi" w:hAnsiTheme="majorHAnsi" w:cstheme="majorHAnsi"/>
          <w:sz w:val="22"/>
        </w:rPr>
      </w:pPr>
      <w:r w:rsidRPr="003A1874">
        <w:rPr>
          <w:rFonts w:asciiTheme="majorHAnsi" w:hAnsiTheme="majorHAnsi" w:cstheme="majorHAnsi"/>
          <w:noProof/>
          <w:sz w:val="22"/>
        </w:rPr>
        <w:drawing>
          <wp:inline distT="0" distB="0" distL="0" distR="0" wp14:anchorId="088BBC0C" wp14:editId="73B9DB58">
            <wp:extent cx="1508760" cy="84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_logo.png"/>
                    <pic:cNvPicPr/>
                  </pic:nvPicPr>
                  <pic:blipFill>
                    <a:blip r:embed="rId8"/>
                    <a:stretch>
                      <a:fillRect/>
                    </a:stretch>
                  </pic:blipFill>
                  <pic:spPr>
                    <a:xfrm>
                      <a:off x="0" y="0"/>
                      <a:ext cx="1508760" cy="844352"/>
                    </a:xfrm>
                    <a:prstGeom prst="rect">
                      <a:avLst/>
                    </a:prstGeom>
                  </pic:spPr>
                </pic:pic>
              </a:graphicData>
            </a:graphic>
          </wp:inline>
        </w:drawing>
      </w:r>
    </w:p>
    <w:p w14:paraId="2591E570" w14:textId="77777777" w:rsidR="00FE0372" w:rsidRPr="003A1874" w:rsidRDefault="00122237" w:rsidP="003A1874">
      <w:pPr>
        <w:jc w:val="center"/>
        <w:rPr>
          <w:rFonts w:asciiTheme="majorHAnsi" w:hAnsiTheme="majorHAnsi" w:cstheme="majorHAnsi"/>
          <w:sz w:val="22"/>
        </w:rPr>
      </w:pPr>
      <w:r w:rsidRPr="003A1874">
        <w:rPr>
          <w:rFonts w:asciiTheme="majorHAnsi" w:hAnsiTheme="majorHAnsi" w:cstheme="majorHAnsi"/>
          <w:b/>
          <w:sz w:val="22"/>
        </w:rPr>
        <w:t>SYNCHRONICITY CARE LIMITED</w:t>
      </w:r>
    </w:p>
    <w:p w14:paraId="691BAD76" w14:textId="77777777" w:rsidR="00FE0372" w:rsidRPr="003A1874" w:rsidRDefault="00122237" w:rsidP="003A1874">
      <w:pPr>
        <w:jc w:val="center"/>
        <w:rPr>
          <w:rFonts w:asciiTheme="majorHAnsi" w:hAnsiTheme="majorHAnsi" w:cstheme="majorHAnsi"/>
          <w:sz w:val="22"/>
        </w:rPr>
      </w:pPr>
      <w:r w:rsidRPr="003A1874">
        <w:rPr>
          <w:rFonts w:asciiTheme="majorHAnsi" w:hAnsiTheme="majorHAnsi" w:cstheme="majorHAnsi"/>
          <w:b/>
          <w:sz w:val="22"/>
        </w:rPr>
        <w:t>(Company Number: 9679630)</w:t>
      </w:r>
    </w:p>
    <w:p w14:paraId="65DA7569" w14:textId="77777777" w:rsidR="00FE0372" w:rsidRPr="003A1874" w:rsidRDefault="00122237" w:rsidP="003A1874">
      <w:pPr>
        <w:jc w:val="center"/>
        <w:rPr>
          <w:rFonts w:asciiTheme="majorHAnsi" w:hAnsiTheme="majorHAnsi" w:cstheme="majorHAnsi"/>
          <w:sz w:val="22"/>
        </w:rPr>
      </w:pPr>
      <w:r w:rsidRPr="003A1874">
        <w:rPr>
          <w:rFonts w:asciiTheme="majorHAnsi" w:hAnsiTheme="majorHAnsi" w:cstheme="majorHAnsi"/>
          <w:b/>
          <w:sz w:val="22"/>
        </w:rPr>
        <w:t>(the “Company”)</w:t>
      </w:r>
    </w:p>
    <w:p w14:paraId="08D72C6B" w14:textId="77777777" w:rsidR="00FE0372" w:rsidRDefault="00122237" w:rsidP="003A1874">
      <w:pPr>
        <w:jc w:val="center"/>
        <w:rPr>
          <w:rFonts w:asciiTheme="majorHAnsi" w:hAnsiTheme="majorHAnsi" w:cstheme="majorHAnsi"/>
          <w:b/>
          <w:sz w:val="22"/>
        </w:rPr>
      </w:pPr>
      <w:r w:rsidRPr="003A1874">
        <w:rPr>
          <w:rFonts w:asciiTheme="majorHAnsi" w:hAnsiTheme="majorHAnsi" w:cstheme="majorHAnsi"/>
          <w:b/>
          <w:sz w:val="22"/>
        </w:rPr>
        <w:t>Minutes of a meeting of the Board of Directors (the “Board”) held on Tuesday 24 March 2026</w:t>
      </w:r>
    </w:p>
    <w:p w14:paraId="63392C0E" w14:textId="77777777" w:rsidR="003A1874" w:rsidRPr="003A1874" w:rsidRDefault="003A1874" w:rsidP="003A1874">
      <w:pPr>
        <w:jc w:val="center"/>
        <w:rPr>
          <w:rFonts w:asciiTheme="majorHAnsi" w:hAnsiTheme="majorHAnsi" w:cstheme="majorHAnsi"/>
          <w:sz w:val="22"/>
        </w:rPr>
      </w:pPr>
    </w:p>
    <w:tbl>
      <w:tblPr>
        <w:tblStyle w:val="TableGrid"/>
        <w:tblW w:w="0" w:type="auto"/>
        <w:tblLook w:val="04A0" w:firstRow="1" w:lastRow="0" w:firstColumn="1" w:lastColumn="0" w:noHBand="0" w:noVBand="1"/>
      </w:tblPr>
      <w:tblGrid>
        <w:gridCol w:w="1770"/>
        <w:gridCol w:w="7966"/>
      </w:tblGrid>
      <w:tr w:rsidR="00FE0372" w:rsidRPr="003A1874" w14:paraId="575BF176" w14:textId="77777777" w:rsidTr="004532CD">
        <w:trPr>
          <w:cantSplit/>
        </w:trPr>
        <w:tc>
          <w:tcPr>
            <w:tcW w:w="9736" w:type="dxa"/>
            <w:gridSpan w:val="2"/>
            <w:shd w:val="clear" w:color="auto" w:fill="B8CCE4" w:themeFill="accent1" w:themeFillTint="66"/>
            <w:tcMar>
              <w:top w:w="60" w:type="dxa"/>
              <w:left w:w="70" w:type="dxa"/>
              <w:bottom w:w="60" w:type="dxa"/>
              <w:right w:w="70" w:type="dxa"/>
            </w:tcMar>
            <w:vAlign w:val="center"/>
          </w:tcPr>
          <w:p w14:paraId="41CFAE3B"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Present:</w:t>
            </w:r>
          </w:p>
        </w:tc>
      </w:tr>
      <w:tr w:rsidR="00FE0372" w:rsidRPr="003A1874" w14:paraId="7EE40B9D" w14:textId="77777777" w:rsidTr="004532CD">
        <w:tc>
          <w:tcPr>
            <w:tcW w:w="1770" w:type="dxa"/>
          </w:tcPr>
          <w:p w14:paraId="7D4B2883"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475E11F7"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Chair</w:t>
            </w:r>
          </w:p>
        </w:tc>
      </w:tr>
      <w:tr w:rsidR="00FE0372" w:rsidRPr="003A1874" w14:paraId="3565E34B" w14:textId="77777777" w:rsidTr="004532CD">
        <w:tc>
          <w:tcPr>
            <w:tcW w:w="1770" w:type="dxa"/>
          </w:tcPr>
          <w:p w14:paraId="0D9E92E7"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17766DFB"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Managing Director</w:t>
            </w:r>
          </w:p>
        </w:tc>
      </w:tr>
      <w:tr w:rsidR="00FE0372" w:rsidRPr="003A1874" w14:paraId="69AB32AA" w14:textId="77777777" w:rsidTr="004532CD">
        <w:tc>
          <w:tcPr>
            <w:tcW w:w="1770" w:type="dxa"/>
          </w:tcPr>
          <w:p w14:paraId="20CD7510"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05109EDD"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Non-Executive Director</w:t>
            </w:r>
          </w:p>
        </w:tc>
      </w:tr>
      <w:tr w:rsidR="00FE0372" w:rsidRPr="003A1874" w14:paraId="63895C9E" w14:textId="77777777" w:rsidTr="004532CD">
        <w:tc>
          <w:tcPr>
            <w:tcW w:w="1770" w:type="dxa"/>
          </w:tcPr>
          <w:p w14:paraId="67C38E4E"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54372B6A"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Director of Finance</w:t>
            </w:r>
          </w:p>
        </w:tc>
      </w:tr>
      <w:tr w:rsidR="004532CD" w:rsidRPr="003A1874" w14:paraId="45A5DFC9" w14:textId="77777777" w:rsidTr="00283B9C">
        <w:tc>
          <w:tcPr>
            <w:tcW w:w="9736" w:type="dxa"/>
            <w:gridSpan w:val="2"/>
            <w:shd w:val="clear" w:color="auto" w:fill="B8CCE4" w:themeFill="accent1" w:themeFillTint="66"/>
          </w:tcPr>
          <w:p w14:paraId="1C3202E6" w14:textId="38E1287C" w:rsidR="004532CD" w:rsidRPr="003A1874" w:rsidRDefault="004532CD" w:rsidP="003A1874">
            <w:pPr>
              <w:rPr>
                <w:rFonts w:asciiTheme="majorHAnsi" w:hAnsiTheme="majorHAnsi" w:cstheme="majorHAnsi"/>
                <w:sz w:val="22"/>
              </w:rPr>
            </w:pPr>
            <w:r w:rsidRPr="003A1874">
              <w:rPr>
                <w:rFonts w:asciiTheme="majorHAnsi" w:hAnsiTheme="majorHAnsi" w:cstheme="majorHAnsi"/>
                <w:b/>
                <w:sz w:val="22"/>
              </w:rPr>
              <w:t>In Attendance</w:t>
            </w:r>
            <w:r>
              <w:rPr>
                <w:rFonts w:asciiTheme="majorHAnsi" w:hAnsiTheme="majorHAnsi" w:cstheme="majorHAnsi"/>
                <w:b/>
                <w:sz w:val="22"/>
              </w:rPr>
              <w:t>:</w:t>
            </w:r>
          </w:p>
        </w:tc>
      </w:tr>
      <w:tr w:rsidR="00FE0372" w:rsidRPr="003A1874" w14:paraId="0C130691" w14:textId="77777777" w:rsidTr="004532CD">
        <w:tc>
          <w:tcPr>
            <w:tcW w:w="1770" w:type="dxa"/>
          </w:tcPr>
          <w:p w14:paraId="0786FEA2"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60E353CF"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Director of Estates</w:t>
            </w:r>
          </w:p>
        </w:tc>
      </w:tr>
      <w:tr w:rsidR="00FE0372" w:rsidRPr="003A1874" w14:paraId="78985B36" w14:textId="77777777" w:rsidTr="004532CD">
        <w:tc>
          <w:tcPr>
            <w:tcW w:w="1770" w:type="dxa"/>
          </w:tcPr>
          <w:p w14:paraId="50EF9E66"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139C91F7"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Associate Director of Business and Contract Management</w:t>
            </w:r>
          </w:p>
        </w:tc>
      </w:tr>
      <w:tr w:rsidR="00FE0372" w:rsidRPr="003A1874" w14:paraId="475FC00B" w14:textId="77777777" w:rsidTr="004532CD">
        <w:tc>
          <w:tcPr>
            <w:tcW w:w="1770" w:type="dxa"/>
          </w:tcPr>
          <w:p w14:paraId="07F02673"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22FFB8C2"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Associate Director of Procurement</w:t>
            </w:r>
          </w:p>
        </w:tc>
      </w:tr>
      <w:tr w:rsidR="00FE0372" w:rsidRPr="003A1874" w14:paraId="6B307D9F" w14:textId="77777777" w:rsidTr="004532CD">
        <w:tc>
          <w:tcPr>
            <w:tcW w:w="1770" w:type="dxa"/>
          </w:tcPr>
          <w:p w14:paraId="3F575078"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13B6E9B5"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Minute taker</w:t>
            </w:r>
          </w:p>
        </w:tc>
      </w:tr>
      <w:tr w:rsidR="004532CD" w:rsidRPr="003A1874" w14:paraId="162AFB19" w14:textId="77777777" w:rsidTr="00CC7778">
        <w:tc>
          <w:tcPr>
            <w:tcW w:w="9736" w:type="dxa"/>
            <w:gridSpan w:val="2"/>
            <w:shd w:val="clear" w:color="auto" w:fill="B8CCE4" w:themeFill="accent1" w:themeFillTint="66"/>
          </w:tcPr>
          <w:p w14:paraId="26794A7A" w14:textId="13B8F023" w:rsidR="004532CD" w:rsidRPr="003A1874" w:rsidRDefault="004532CD" w:rsidP="003A1874">
            <w:pPr>
              <w:rPr>
                <w:rFonts w:asciiTheme="majorHAnsi" w:hAnsiTheme="majorHAnsi" w:cstheme="majorHAnsi"/>
                <w:sz w:val="22"/>
              </w:rPr>
            </w:pPr>
            <w:r w:rsidRPr="003A1874">
              <w:rPr>
                <w:rFonts w:asciiTheme="majorHAnsi" w:hAnsiTheme="majorHAnsi" w:cstheme="majorHAnsi"/>
                <w:b/>
                <w:sz w:val="22"/>
              </w:rPr>
              <w:t>Apologies:</w:t>
            </w:r>
          </w:p>
        </w:tc>
      </w:tr>
      <w:tr w:rsidR="00FE0372" w:rsidRPr="003A1874" w14:paraId="2AFD6FDE" w14:textId="77777777" w:rsidTr="004532CD">
        <w:tc>
          <w:tcPr>
            <w:tcW w:w="1770" w:type="dxa"/>
          </w:tcPr>
          <w:p w14:paraId="09EF9A38"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c>
          <w:tcPr>
            <w:tcW w:w="7966" w:type="dxa"/>
          </w:tcPr>
          <w:p w14:paraId="47FC094B"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Director of Facilities</w:t>
            </w:r>
          </w:p>
        </w:tc>
      </w:tr>
    </w:tbl>
    <w:p w14:paraId="57B96785" w14:textId="77777777" w:rsidR="00FE0372" w:rsidRPr="003A1874" w:rsidRDefault="00FE0372" w:rsidP="003A1874">
      <w:pPr>
        <w:rPr>
          <w:rFonts w:asciiTheme="majorHAnsi" w:hAnsiTheme="majorHAnsi" w:cstheme="majorHAnsi"/>
          <w:sz w:val="22"/>
        </w:rPr>
      </w:pPr>
    </w:p>
    <w:p w14:paraId="7EC54B47"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 xml:space="preserve"> </w:t>
      </w:r>
    </w:p>
    <w:tbl>
      <w:tblPr>
        <w:tblStyle w:val="TableGrid"/>
        <w:tblW w:w="0" w:type="auto"/>
        <w:tblLook w:val="04A0" w:firstRow="1" w:lastRow="0" w:firstColumn="1" w:lastColumn="0" w:noHBand="0" w:noVBand="1"/>
      </w:tblPr>
      <w:tblGrid>
        <w:gridCol w:w="919"/>
        <w:gridCol w:w="7231"/>
        <w:gridCol w:w="1586"/>
      </w:tblGrid>
      <w:tr w:rsidR="00FE0372" w:rsidRPr="003A1874" w14:paraId="0639EF0C" w14:textId="77777777" w:rsidTr="004532CD">
        <w:trPr>
          <w:tblHeader/>
        </w:trPr>
        <w:tc>
          <w:tcPr>
            <w:tcW w:w="921" w:type="dxa"/>
            <w:shd w:val="clear" w:color="auto" w:fill="B8CCE4" w:themeFill="accent1" w:themeFillTint="66"/>
            <w:tcMar>
              <w:top w:w="60" w:type="dxa"/>
              <w:left w:w="70" w:type="dxa"/>
              <w:bottom w:w="60" w:type="dxa"/>
              <w:right w:w="70" w:type="dxa"/>
            </w:tcMar>
          </w:tcPr>
          <w:p w14:paraId="71E5ED8F"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Agenda</w:t>
            </w:r>
            <w:r w:rsidRPr="003A1874">
              <w:rPr>
                <w:rFonts w:asciiTheme="majorHAnsi" w:hAnsiTheme="majorHAnsi" w:cstheme="majorHAnsi"/>
                <w:b/>
                <w:sz w:val="22"/>
              </w:rPr>
              <w:br/>
              <w:t>Item</w:t>
            </w:r>
          </w:p>
        </w:tc>
        <w:tc>
          <w:tcPr>
            <w:tcW w:w="7371" w:type="dxa"/>
            <w:shd w:val="clear" w:color="auto" w:fill="B8CCE4" w:themeFill="accent1" w:themeFillTint="66"/>
            <w:tcMar>
              <w:top w:w="60" w:type="dxa"/>
              <w:left w:w="70" w:type="dxa"/>
              <w:bottom w:w="60" w:type="dxa"/>
              <w:right w:w="70" w:type="dxa"/>
            </w:tcMar>
          </w:tcPr>
          <w:p w14:paraId="1CD77013"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Discussion and Action Points</w:t>
            </w:r>
          </w:p>
        </w:tc>
        <w:tc>
          <w:tcPr>
            <w:tcW w:w="1594" w:type="dxa"/>
            <w:shd w:val="clear" w:color="auto" w:fill="B8CCE4" w:themeFill="accent1" w:themeFillTint="66"/>
            <w:tcMar>
              <w:top w:w="60" w:type="dxa"/>
              <w:left w:w="70" w:type="dxa"/>
              <w:bottom w:w="60" w:type="dxa"/>
              <w:right w:w="70" w:type="dxa"/>
            </w:tcMar>
          </w:tcPr>
          <w:p w14:paraId="0FF35CC0"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Action</w:t>
            </w:r>
            <w:r w:rsidRPr="003A1874">
              <w:rPr>
                <w:rFonts w:asciiTheme="majorHAnsi" w:hAnsiTheme="majorHAnsi" w:cstheme="majorHAnsi"/>
                <w:b/>
                <w:sz w:val="22"/>
              </w:rPr>
              <w:br/>
              <w:t>By</w:t>
            </w:r>
          </w:p>
        </w:tc>
      </w:tr>
      <w:tr w:rsidR="00FE0372" w:rsidRPr="003A1874" w14:paraId="1960FE64" w14:textId="77777777" w:rsidTr="004532CD">
        <w:tc>
          <w:tcPr>
            <w:tcW w:w="921" w:type="dxa"/>
            <w:shd w:val="clear" w:color="auto" w:fill="B8CCE4" w:themeFill="accent1" w:themeFillTint="66"/>
          </w:tcPr>
          <w:p w14:paraId="779442CC"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1</w:t>
            </w:r>
          </w:p>
        </w:tc>
        <w:tc>
          <w:tcPr>
            <w:tcW w:w="7371" w:type="dxa"/>
            <w:shd w:val="clear" w:color="auto" w:fill="B8CCE4" w:themeFill="accent1" w:themeFillTint="66"/>
          </w:tcPr>
          <w:p w14:paraId="0DD38918"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Introductory Matters</w:t>
            </w:r>
          </w:p>
        </w:tc>
        <w:tc>
          <w:tcPr>
            <w:tcW w:w="1594" w:type="dxa"/>
            <w:shd w:val="clear" w:color="auto" w:fill="B8CCE4" w:themeFill="accent1" w:themeFillTint="66"/>
          </w:tcPr>
          <w:p w14:paraId="073F104D" w14:textId="77777777" w:rsidR="00FE0372" w:rsidRPr="003A1874" w:rsidRDefault="00FE0372" w:rsidP="003A1874">
            <w:pPr>
              <w:rPr>
                <w:rFonts w:asciiTheme="majorHAnsi" w:hAnsiTheme="majorHAnsi" w:cstheme="majorHAnsi"/>
                <w:sz w:val="22"/>
              </w:rPr>
            </w:pPr>
          </w:p>
        </w:tc>
      </w:tr>
      <w:tr w:rsidR="00FE0372" w:rsidRPr="003A1874" w14:paraId="6090756A" w14:textId="77777777" w:rsidTr="003A1874">
        <w:tc>
          <w:tcPr>
            <w:tcW w:w="921" w:type="dxa"/>
          </w:tcPr>
          <w:p w14:paraId="390C0072"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1.1</w:t>
            </w:r>
          </w:p>
        </w:tc>
        <w:tc>
          <w:tcPr>
            <w:tcW w:w="7371" w:type="dxa"/>
          </w:tcPr>
          <w:p w14:paraId="54F23B36"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Apologies for absence</w:t>
            </w:r>
          </w:p>
          <w:p w14:paraId="1C79DF25" w14:textId="156814CA"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br/>
              <w:t xml:space="preserve">An apology for absence was recorded </w:t>
            </w:r>
            <w:proofErr w:type="gramStart"/>
            <w:r w:rsidRPr="003A1874">
              <w:rPr>
                <w:rFonts w:asciiTheme="majorHAnsi" w:hAnsiTheme="majorHAnsi" w:cstheme="majorHAnsi"/>
                <w:sz w:val="22"/>
              </w:rPr>
              <w:t>for</w:t>
            </w:r>
            <w:proofErr w:type="gramEnd"/>
            <w:r w:rsidRPr="003A1874">
              <w:rPr>
                <w:rFonts w:asciiTheme="majorHAnsi" w:hAnsiTheme="majorHAnsi" w:cstheme="majorHAnsi"/>
                <w:sz w:val="22"/>
              </w:rPr>
              <w:t xml:space="preserve"> the Director of Facilities.</w:t>
            </w:r>
          </w:p>
        </w:tc>
        <w:tc>
          <w:tcPr>
            <w:tcW w:w="1594" w:type="dxa"/>
          </w:tcPr>
          <w:p w14:paraId="0A725E18" w14:textId="77777777" w:rsidR="00FE0372" w:rsidRPr="003A1874" w:rsidRDefault="00FE0372" w:rsidP="003A1874">
            <w:pPr>
              <w:rPr>
                <w:rFonts w:asciiTheme="majorHAnsi" w:hAnsiTheme="majorHAnsi" w:cstheme="majorHAnsi"/>
                <w:sz w:val="22"/>
              </w:rPr>
            </w:pPr>
          </w:p>
        </w:tc>
      </w:tr>
      <w:tr w:rsidR="00FE0372" w:rsidRPr="003A1874" w14:paraId="4077D476" w14:textId="77777777" w:rsidTr="003A1874">
        <w:tc>
          <w:tcPr>
            <w:tcW w:w="921" w:type="dxa"/>
          </w:tcPr>
          <w:p w14:paraId="20F55447"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1.2</w:t>
            </w:r>
          </w:p>
        </w:tc>
        <w:tc>
          <w:tcPr>
            <w:tcW w:w="7371" w:type="dxa"/>
          </w:tcPr>
          <w:p w14:paraId="190BA804"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Declarations of Interest and Quorum</w:t>
            </w:r>
          </w:p>
          <w:p w14:paraId="7EAEE96D" w14:textId="6BD65870"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br/>
              <w:t>Each Director confirmed that they were not aware of any conflicts of interest requiring disclosure other than those recorded on the Register of Directors’ Interests. The Board NOTED that a quorum was present for the duration of the meeting.</w:t>
            </w:r>
          </w:p>
        </w:tc>
        <w:tc>
          <w:tcPr>
            <w:tcW w:w="1594" w:type="dxa"/>
          </w:tcPr>
          <w:p w14:paraId="173DFF4C" w14:textId="77777777" w:rsidR="00FE0372" w:rsidRPr="003A1874" w:rsidRDefault="00FE0372" w:rsidP="003A1874">
            <w:pPr>
              <w:rPr>
                <w:rFonts w:asciiTheme="majorHAnsi" w:hAnsiTheme="majorHAnsi" w:cstheme="majorHAnsi"/>
                <w:sz w:val="22"/>
              </w:rPr>
            </w:pPr>
          </w:p>
        </w:tc>
      </w:tr>
      <w:tr w:rsidR="00FE0372" w:rsidRPr="003A1874" w14:paraId="68DA368B" w14:textId="77777777" w:rsidTr="003A1874">
        <w:tc>
          <w:tcPr>
            <w:tcW w:w="921" w:type="dxa"/>
          </w:tcPr>
          <w:p w14:paraId="501E8224"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1.3</w:t>
            </w:r>
          </w:p>
        </w:tc>
        <w:tc>
          <w:tcPr>
            <w:tcW w:w="7371" w:type="dxa"/>
          </w:tcPr>
          <w:p w14:paraId="555486C6"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Approve minutes of the meeting held on 4 February 2026 and approve/update the action list and the record of decisions</w:t>
            </w:r>
          </w:p>
          <w:p w14:paraId="2C6BDE4C" w14:textId="77777777" w:rsidR="003A1874" w:rsidRDefault="003A1874" w:rsidP="003A1874">
            <w:pPr>
              <w:jc w:val="both"/>
              <w:rPr>
                <w:rFonts w:asciiTheme="majorHAnsi" w:hAnsiTheme="majorHAnsi" w:cstheme="majorHAnsi"/>
                <w:b/>
                <w:sz w:val="22"/>
              </w:rPr>
            </w:pPr>
          </w:p>
          <w:p w14:paraId="3D737FA9" w14:textId="26C34647"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draft minutes of the Board meeting held on 4 February 2026 were accepted as an accurate record. The action log and Record of Decisions were reviewed.</w:t>
            </w:r>
            <w:r w:rsidRPr="003A1874">
              <w:rPr>
                <w:rFonts w:asciiTheme="majorHAnsi" w:hAnsiTheme="majorHAnsi" w:cstheme="majorHAnsi"/>
                <w:sz w:val="22"/>
              </w:rPr>
              <w:br/>
            </w:r>
            <w:r w:rsidRPr="003A1874">
              <w:rPr>
                <w:rFonts w:asciiTheme="majorHAnsi" w:hAnsiTheme="majorHAnsi" w:cstheme="majorHAnsi"/>
                <w:sz w:val="22"/>
              </w:rPr>
              <w:br/>
              <w:t>Action: Update the action log accordingly.</w:t>
            </w:r>
          </w:p>
        </w:tc>
        <w:tc>
          <w:tcPr>
            <w:tcW w:w="1594" w:type="dxa"/>
          </w:tcPr>
          <w:p w14:paraId="12F55568"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r>
      <w:tr w:rsidR="00FE0372" w:rsidRPr="003A1874" w14:paraId="59BB5518" w14:textId="77777777" w:rsidTr="004532CD">
        <w:tc>
          <w:tcPr>
            <w:tcW w:w="921" w:type="dxa"/>
            <w:shd w:val="clear" w:color="auto" w:fill="B8CCE4" w:themeFill="accent1" w:themeFillTint="66"/>
          </w:tcPr>
          <w:p w14:paraId="166B6271"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2</w:t>
            </w:r>
          </w:p>
        </w:tc>
        <w:tc>
          <w:tcPr>
            <w:tcW w:w="7371" w:type="dxa"/>
            <w:shd w:val="clear" w:color="auto" w:fill="B8CCE4" w:themeFill="accent1" w:themeFillTint="66"/>
          </w:tcPr>
          <w:p w14:paraId="30AC4AC4"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Standing Items</w:t>
            </w:r>
          </w:p>
        </w:tc>
        <w:tc>
          <w:tcPr>
            <w:tcW w:w="1594" w:type="dxa"/>
            <w:shd w:val="clear" w:color="auto" w:fill="B8CCE4" w:themeFill="accent1" w:themeFillTint="66"/>
          </w:tcPr>
          <w:p w14:paraId="5CBD0024" w14:textId="77777777" w:rsidR="00FE0372" w:rsidRPr="003A1874" w:rsidRDefault="00FE0372" w:rsidP="003A1874">
            <w:pPr>
              <w:rPr>
                <w:rFonts w:asciiTheme="majorHAnsi" w:hAnsiTheme="majorHAnsi" w:cstheme="majorHAnsi"/>
                <w:sz w:val="22"/>
              </w:rPr>
            </w:pPr>
          </w:p>
        </w:tc>
      </w:tr>
      <w:tr w:rsidR="00FE0372" w:rsidRPr="003A1874" w14:paraId="3D5C55C8" w14:textId="77777777" w:rsidTr="003A1874">
        <w:tc>
          <w:tcPr>
            <w:tcW w:w="921" w:type="dxa"/>
          </w:tcPr>
          <w:p w14:paraId="02BC68C4"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2.1</w:t>
            </w:r>
          </w:p>
        </w:tc>
        <w:tc>
          <w:tcPr>
            <w:tcW w:w="7371" w:type="dxa"/>
          </w:tcPr>
          <w:p w14:paraId="07D5A1AD"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Managing Director’s Report</w:t>
            </w:r>
          </w:p>
          <w:p w14:paraId="31518CA3" w14:textId="77777777" w:rsidR="003A1874" w:rsidRDefault="003A1874" w:rsidP="003A1874">
            <w:pPr>
              <w:jc w:val="both"/>
              <w:rPr>
                <w:rFonts w:asciiTheme="majorHAnsi" w:hAnsiTheme="majorHAnsi" w:cstheme="majorHAnsi"/>
                <w:b/>
                <w:sz w:val="22"/>
              </w:rPr>
            </w:pPr>
          </w:p>
          <w:p w14:paraId="6F5A6627" w14:textId="74B14856"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Managing Director presented Board Paper 2.1. The Board received updates on Trust leadership and governance, PLACE results, workforce and staff survey matters, operational performance, health and safety, current service transitions and productivity/efficiency activity. Positive progress was noted across </w:t>
            </w:r>
            <w:r w:rsidR="003A1874" w:rsidRPr="003A1874">
              <w:rPr>
                <w:rFonts w:asciiTheme="majorHAnsi" w:hAnsiTheme="majorHAnsi" w:cstheme="majorHAnsi"/>
                <w:sz w:val="22"/>
              </w:rPr>
              <w:t>several</w:t>
            </w:r>
            <w:r w:rsidRPr="003A1874">
              <w:rPr>
                <w:rFonts w:asciiTheme="majorHAnsi" w:hAnsiTheme="majorHAnsi" w:cstheme="majorHAnsi"/>
                <w:sz w:val="22"/>
              </w:rPr>
              <w:t xml:space="preserve"> operational and compliance areas.</w:t>
            </w:r>
          </w:p>
          <w:p w14:paraId="7F6BBD5D" w14:textId="77777777" w:rsidR="003A1874" w:rsidRDefault="003A1874" w:rsidP="003A1874">
            <w:pPr>
              <w:jc w:val="both"/>
              <w:rPr>
                <w:rFonts w:asciiTheme="majorHAnsi" w:hAnsiTheme="majorHAnsi" w:cstheme="majorHAnsi"/>
                <w:sz w:val="22"/>
              </w:rPr>
            </w:pPr>
          </w:p>
          <w:p w14:paraId="56EAA85E"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lastRenderedPageBreak/>
              <w:t>The Board considered the Gender Pay Gap Report and the ongoing action plan to support fair progression and continued monitoring. The Board APPROVED the Gender Pay Gap Report.</w:t>
            </w:r>
          </w:p>
          <w:p w14:paraId="481A5250" w14:textId="77777777" w:rsidR="003A1874" w:rsidRDefault="003A1874" w:rsidP="003A1874">
            <w:pPr>
              <w:jc w:val="both"/>
              <w:rPr>
                <w:rFonts w:asciiTheme="majorHAnsi" w:hAnsiTheme="majorHAnsi" w:cstheme="majorHAnsi"/>
                <w:sz w:val="22"/>
              </w:rPr>
            </w:pPr>
          </w:p>
          <w:p w14:paraId="1989F293"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Board also considered workforce turnover and sickness, legal claims, staff consultation, operational incidents and current efficiency proposals. Assurance was received that incident actions were being tracked and learning appropriately cascaded.</w:t>
            </w:r>
          </w:p>
          <w:p w14:paraId="15F028E8" w14:textId="77777777" w:rsidR="003A1874" w:rsidRDefault="003A1874" w:rsidP="003A1874">
            <w:pPr>
              <w:jc w:val="both"/>
              <w:rPr>
                <w:rFonts w:asciiTheme="majorHAnsi" w:hAnsiTheme="majorHAnsi" w:cstheme="majorHAnsi"/>
                <w:sz w:val="22"/>
              </w:rPr>
            </w:pPr>
          </w:p>
          <w:p w14:paraId="42F4F152"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w:t>
            </w:r>
            <w:proofErr w:type="gramStart"/>
            <w:r w:rsidRPr="003A1874">
              <w:rPr>
                <w:rFonts w:asciiTheme="majorHAnsi" w:hAnsiTheme="majorHAnsi" w:cstheme="majorHAnsi"/>
                <w:sz w:val="22"/>
              </w:rPr>
              <w:t>RESOLVED to</w:t>
            </w:r>
            <w:proofErr w:type="gramEnd"/>
            <w:r w:rsidRPr="003A1874">
              <w:rPr>
                <w:rFonts w:asciiTheme="majorHAnsi" w:hAnsiTheme="majorHAnsi" w:cstheme="majorHAnsi"/>
                <w:sz w:val="22"/>
              </w:rPr>
              <w:t xml:space="preserve"> NOTE the remainder of the report.</w:t>
            </w:r>
          </w:p>
          <w:p w14:paraId="65C261A4" w14:textId="77777777" w:rsidR="003A1874" w:rsidRDefault="003A1874" w:rsidP="003A1874">
            <w:pPr>
              <w:jc w:val="both"/>
              <w:rPr>
                <w:rFonts w:asciiTheme="majorHAnsi" w:hAnsiTheme="majorHAnsi" w:cstheme="majorHAnsi"/>
                <w:sz w:val="22"/>
              </w:rPr>
            </w:pPr>
          </w:p>
          <w:p w14:paraId="110BE206" w14:textId="49DAB0ED"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individual personnel and legal-claim information, detailed workforce data, staff-specific matters, live operational/security information and detailed efficiency assumptions.]</w:t>
            </w:r>
          </w:p>
        </w:tc>
        <w:tc>
          <w:tcPr>
            <w:tcW w:w="1594" w:type="dxa"/>
          </w:tcPr>
          <w:p w14:paraId="0FEACA37" w14:textId="77777777" w:rsidR="00FE0372" w:rsidRPr="003A1874" w:rsidRDefault="00FE0372" w:rsidP="003A1874">
            <w:pPr>
              <w:rPr>
                <w:rFonts w:asciiTheme="majorHAnsi" w:hAnsiTheme="majorHAnsi" w:cstheme="majorHAnsi"/>
                <w:sz w:val="22"/>
              </w:rPr>
            </w:pPr>
          </w:p>
        </w:tc>
      </w:tr>
      <w:tr w:rsidR="00FE0372" w:rsidRPr="003A1874" w14:paraId="4CE298A8" w14:textId="77777777" w:rsidTr="004532CD">
        <w:tc>
          <w:tcPr>
            <w:tcW w:w="921" w:type="dxa"/>
            <w:shd w:val="clear" w:color="auto" w:fill="B8CCE4" w:themeFill="accent1" w:themeFillTint="66"/>
          </w:tcPr>
          <w:p w14:paraId="1A539D2B"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3</w:t>
            </w:r>
          </w:p>
        </w:tc>
        <w:tc>
          <w:tcPr>
            <w:tcW w:w="7371" w:type="dxa"/>
            <w:shd w:val="clear" w:color="auto" w:fill="B8CCE4" w:themeFill="accent1" w:themeFillTint="66"/>
          </w:tcPr>
          <w:p w14:paraId="14C1475A"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Operational Reports</w:t>
            </w:r>
          </w:p>
        </w:tc>
        <w:tc>
          <w:tcPr>
            <w:tcW w:w="1594" w:type="dxa"/>
            <w:shd w:val="clear" w:color="auto" w:fill="B8CCE4" w:themeFill="accent1" w:themeFillTint="66"/>
          </w:tcPr>
          <w:p w14:paraId="55DAFB2C" w14:textId="77777777" w:rsidR="00FE0372" w:rsidRPr="003A1874" w:rsidRDefault="00FE0372" w:rsidP="003A1874">
            <w:pPr>
              <w:rPr>
                <w:rFonts w:asciiTheme="majorHAnsi" w:hAnsiTheme="majorHAnsi" w:cstheme="majorHAnsi"/>
                <w:sz w:val="22"/>
              </w:rPr>
            </w:pPr>
          </w:p>
        </w:tc>
      </w:tr>
      <w:tr w:rsidR="00FE0372" w:rsidRPr="003A1874" w14:paraId="0D72CCBE" w14:textId="77777777" w:rsidTr="003A1874">
        <w:tc>
          <w:tcPr>
            <w:tcW w:w="921" w:type="dxa"/>
          </w:tcPr>
          <w:p w14:paraId="2C073E6C"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3.1</w:t>
            </w:r>
          </w:p>
        </w:tc>
        <w:tc>
          <w:tcPr>
            <w:tcW w:w="7371" w:type="dxa"/>
          </w:tcPr>
          <w:p w14:paraId="0012A69F"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Finance and Insurance Report</w:t>
            </w:r>
          </w:p>
          <w:p w14:paraId="0DA91897" w14:textId="77777777" w:rsidR="003A1874" w:rsidRDefault="003A1874" w:rsidP="003A1874">
            <w:pPr>
              <w:jc w:val="both"/>
              <w:rPr>
                <w:rFonts w:asciiTheme="majorHAnsi" w:hAnsiTheme="majorHAnsi" w:cstheme="majorHAnsi"/>
                <w:b/>
                <w:sz w:val="22"/>
              </w:rPr>
            </w:pPr>
          </w:p>
          <w:p w14:paraId="28A4F8CD"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Director of Finance presented the Period 11 Finance Report and an update on the developing financial plan. The Board considered the year-end position, efficiency delivery, gain-share arrangements, income assumptions and the approach to achieving a sustainable financial position while supporting the Trust’s wider financial requirements.</w:t>
            </w:r>
          </w:p>
          <w:p w14:paraId="2CB0A253" w14:textId="77777777" w:rsidR="003A1874" w:rsidRDefault="003A1874" w:rsidP="003A1874">
            <w:pPr>
              <w:jc w:val="both"/>
              <w:rPr>
                <w:rFonts w:asciiTheme="majorHAnsi" w:hAnsiTheme="majorHAnsi" w:cstheme="majorHAnsi"/>
                <w:sz w:val="22"/>
              </w:rPr>
            </w:pPr>
          </w:p>
          <w:p w14:paraId="29CDD5CB"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w:t>
            </w:r>
            <w:proofErr w:type="gramStart"/>
            <w:r w:rsidRPr="003A1874">
              <w:rPr>
                <w:rFonts w:asciiTheme="majorHAnsi" w:hAnsiTheme="majorHAnsi" w:cstheme="majorHAnsi"/>
                <w:sz w:val="22"/>
              </w:rPr>
              <w:t>RESOLVED to</w:t>
            </w:r>
            <w:proofErr w:type="gramEnd"/>
            <w:r w:rsidRPr="003A1874">
              <w:rPr>
                <w:rFonts w:asciiTheme="majorHAnsi" w:hAnsiTheme="majorHAnsi" w:cstheme="majorHAnsi"/>
                <w:sz w:val="22"/>
              </w:rPr>
              <w:t xml:space="preserve"> NOTE the report.</w:t>
            </w:r>
          </w:p>
          <w:p w14:paraId="1755F86E" w14:textId="77777777" w:rsidR="003A1874" w:rsidRDefault="003A1874" w:rsidP="003A1874">
            <w:pPr>
              <w:jc w:val="both"/>
              <w:rPr>
                <w:rFonts w:asciiTheme="majorHAnsi" w:hAnsiTheme="majorHAnsi" w:cstheme="majorHAnsi"/>
                <w:sz w:val="22"/>
              </w:rPr>
            </w:pPr>
          </w:p>
          <w:p w14:paraId="2CF28376" w14:textId="588F950D"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detailed financial figures, profit/deficit targets, efficiency values and pipeline assumptions, gain-share calculations, insurance gains, contract positions and live negotiating positions with the Trust.]</w:t>
            </w:r>
          </w:p>
        </w:tc>
        <w:tc>
          <w:tcPr>
            <w:tcW w:w="1594" w:type="dxa"/>
          </w:tcPr>
          <w:p w14:paraId="6EAA119E" w14:textId="77777777" w:rsidR="00FE0372" w:rsidRPr="003A1874" w:rsidRDefault="00FE0372" w:rsidP="003A1874">
            <w:pPr>
              <w:rPr>
                <w:rFonts w:asciiTheme="majorHAnsi" w:hAnsiTheme="majorHAnsi" w:cstheme="majorHAnsi"/>
                <w:sz w:val="22"/>
              </w:rPr>
            </w:pPr>
          </w:p>
        </w:tc>
      </w:tr>
      <w:tr w:rsidR="00FE0372" w:rsidRPr="003A1874" w14:paraId="1DA9B991" w14:textId="77777777" w:rsidTr="003A1874">
        <w:tc>
          <w:tcPr>
            <w:tcW w:w="921" w:type="dxa"/>
          </w:tcPr>
          <w:p w14:paraId="08254FB2"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3.2</w:t>
            </w:r>
          </w:p>
        </w:tc>
        <w:tc>
          <w:tcPr>
            <w:tcW w:w="7371" w:type="dxa"/>
          </w:tcPr>
          <w:p w14:paraId="585CCCD0"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Procurement</w:t>
            </w:r>
          </w:p>
          <w:p w14:paraId="1C2A88C1" w14:textId="77777777" w:rsidR="003A1874" w:rsidRDefault="003A1874" w:rsidP="003A1874">
            <w:pPr>
              <w:jc w:val="both"/>
              <w:rPr>
                <w:rFonts w:asciiTheme="majorHAnsi" w:hAnsiTheme="majorHAnsi" w:cstheme="majorHAnsi"/>
                <w:b/>
                <w:sz w:val="22"/>
              </w:rPr>
            </w:pPr>
          </w:p>
          <w:p w14:paraId="5C1BF520"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Associate Director of Procurement presented Board Paper 3.2. The Board reviewed contract management, inventory systems, procurement governance and compliance, care-group engagement, sustainability requirements and efficiency/innovation activity. The Board noted improvements in contract handovers and compliance and considered the </w:t>
            </w:r>
            <w:proofErr w:type="gramStart"/>
            <w:r w:rsidRPr="003A1874">
              <w:rPr>
                <w:rFonts w:asciiTheme="majorHAnsi" w:hAnsiTheme="majorHAnsi" w:cstheme="majorHAnsi"/>
                <w:sz w:val="22"/>
              </w:rPr>
              <w:t>resource</w:t>
            </w:r>
            <w:proofErr w:type="gramEnd"/>
            <w:r w:rsidRPr="003A1874">
              <w:rPr>
                <w:rFonts w:asciiTheme="majorHAnsi" w:hAnsiTheme="majorHAnsi" w:cstheme="majorHAnsi"/>
                <w:sz w:val="22"/>
              </w:rPr>
              <w:t xml:space="preserve"> and system requirements needed to strengthen contract management further.</w:t>
            </w:r>
          </w:p>
          <w:p w14:paraId="50B46B13" w14:textId="77777777" w:rsidR="003A1874" w:rsidRDefault="003A1874" w:rsidP="003A1874">
            <w:pPr>
              <w:jc w:val="both"/>
              <w:rPr>
                <w:rFonts w:asciiTheme="majorHAnsi" w:hAnsiTheme="majorHAnsi" w:cstheme="majorHAnsi"/>
                <w:sz w:val="22"/>
              </w:rPr>
            </w:pPr>
          </w:p>
          <w:p w14:paraId="0D3E5211"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Board also discussed live contractual and governance risks requiring continued escalation and appropriate contractual cover.</w:t>
            </w:r>
          </w:p>
          <w:p w14:paraId="48E6E453" w14:textId="77777777" w:rsidR="003A1874" w:rsidRDefault="003A1874" w:rsidP="003A1874">
            <w:pPr>
              <w:jc w:val="both"/>
              <w:rPr>
                <w:rFonts w:asciiTheme="majorHAnsi" w:hAnsiTheme="majorHAnsi" w:cstheme="majorHAnsi"/>
                <w:sz w:val="22"/>
              </w:rPr>
            </w:pPr>
          </w:p>
          <w:p w14:paraId="09DE6BAB"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w:t>
            </w:r>
            <w:proofErr w:type="gramStart"/>
            <w:r w:rsidRPr="003A1874">
              <w:rPr>
                <w:rFonts w:asciiTheme="majorHAnsi" w:hAnsiTheme="majorHAnsi" w:cstheme="majorHAnsi"/>
                <w:sz w:val="22"/>
              </w:rPr>
              <w:t>RESOLVED to</w:t>
            </w:r>
            <w:proofErr w:type="gramEnd"/>
            <w:r w:rsidRPr="003A1874">
              <w:rPr>
                <w:rFonts w:asciiTheme="majorHAnsi" w:hAnsiTheme="majorHAnsi" w:cstheme="majorHAnsi"/>
                <w:sz w:val="22"/>
              </w:rPr>
              <w:t xml:space="preserve"> NOTE the report.</w:t>
            </w:r>
          </w:p>
          <w:p w14:paraId="72DA7F8D" w14:textId="77777777" w:rsidR="003A1874" w:rsidRDefault="003A1874" w:rsidP="003A1874">
            <w:pPr>
              <w:jc w:val="both"/>
              <w:rPr>
                <w:rFonts w:asciiTheme="majorHAnsi" w:hAnsiTheme="majorHAnsi" w:cstheme="majorHAnsi"/>
                <w:sz w:val="22"/>
              </w:rPr>
            </w:pPr>
          </w:p>
          <w:p w14:paraId="1A6F1BC2" w14:textId="34D53838"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detailed contract breaches and compliance issues, live supplier/contract arrangements, patient-information and governance risks, procurement efficiency and VAT values, resource constraints and specific escalation positions.]</w:t>
            </w:r>
          </w:p>
        </w:tc>
        <w:tc>
          <w:tcPr>
            <w:tcW w:w="1594" w:type="dxa"/>
          </w:tcPr>
          <w:p w14:paraId="3388AEE1" w14:textId="77777777" w:rsidR="00FE0372" w:rsidRPr="003A1874" w:rsidRDefault="00FE0372" w:rsidP="003A1874">
            <w:pPr>
              <w:rPr>
                <w:rFonts w:asciiTheme="majorHAnsi" w:hAnsiTheme="majorHAnsi" w:cstheme="majorHAnsi"/>
                <w:sz w:val="22"/>
              </w:rPr>
            </w:pPr>
          </w:p>
        </w:tc>
      </w:tr>
      <w:tr w:rsidR="00FE0372" w:rsidRPr="003A1874" w14:paraId="6C3F7885" w14:textId="77777777" w:rsidTr="003A1874">
        <w:tc>
          <w:tcPr>
            <w:tcW w:w="921" w:type="dxa"/>
          </w:tcPr>
          <w:p w14:paraId="1340C2A0"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3.3</w:t>
            </w:r>
          </w:p>
        </w:tc>
        <w:tc>
          <w:tcPr>
            <w:tcW w:w="7371" w:type="dxa"/>
          </w:tcPr>
          <w:p w14:paraId="45553FCC"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Performance Report</w:t>
            </w:r>
          </w:p>
          <w:p w14:paraId="4525140F"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br/>
              <w:t xml:space="preserve">The Board received the Quarter 3 performance update covering the OHF, Non-OHF and UHND PFI contracts. The Board considered recurring portering performance issues, staffing and activity pressures, and the distinction </w:t>
            </w:r>
            <w:r w:rsidRPr="003A1874">
              <w:rPr>
                <w:rFonts w:asciiTheme="majorHAnsi" w:hAnsiTheme="majorHAnsi" w:cstheme="majorHAnsi"/>
                <w:sz w:val="22"/>
              </w:rPr>
              <w:lastRenderedPageBreak/>
              <w:t>between performance failures and disputed service volumes. It was noted that recruitment and operational actions were expected to support improvement.</w:t>
            </w:r>
          </w:p>
          <w:p w14:paraId="4547193E" w14:textId="77777777" w:rsidR="003A1874" w:rsidRDefault="003A1874" w:rsidP="003A1874">
            <w:pPr>
              <w:jc w:val="both"/>
              <w:rPr>
                <w:rFonts w:asciiTheme="majorHAnsi" w:hAnsiTheme="majorHAnsi" w:cstheme="majorHAnsi"/>
                <w:sz w:val="22"/>
              </w:rPr>
            </w:pPr>
          </w:p>
          <w:p w14:paraId="6B2CCCEC"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w:t>
            </w:r>
            <w:proofErr w:type="gramStart"/>
            <w:r w:rsidRPr="003A1874">
              <w:rPr>
                <w:rFonts w:asciiTheme="majorHAnsi" w:hAnsiTheme="majorHAnsi" w:cstheme="majorHAnsi"/>
                <w:sz w:val="22"/>
              </w:rPr>
              <w:t>RESOLVED to</w:t>
            </w:r>
            <w:proofErr w:type="gramEnd"/>
            <w:r w:rsidRPr="003A1874">
              <w:rPr>
                <w:rFonts w:asciiTheme="majorHAnsi" w:hAnsiTheme="majorHAnsi" w:cstheme="majorHAnsi"/>
                <w:sz w:val="22"/>
              </w:rPr>
              <w:t xml:space="preserve"> NOTE the report.</w:t>
            </w:r>
          </w:p>
          <w:p w14:paraId="12AFA819" w14:textId="77777777" w:rsidR="003A1874" w:rsidRDefault="003A1874" w:rsidP="003A1874">
            <w:pPr>
              <w:jc w:val="both"/>
              <w:rPr>
                <w:rFonts w:asciiTheme="majorHAnsi" w:hAnsiTheme="majorHAnsi" w:cstheme="majorHAnsi"/>
                <w:sz w:val="22"/>
              </w:rPr>
            </w:pPr>
          </w:p>
          <w:p w14:paraId="36772A86" w14:textId="30BE6183"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detailed contract KPI performance, disputed activity volumes and calculation issues, potential financial consequences, patient-flow/complaint information and live contractual negotiating positions.]</w:t>
            </w:r>
          </w:p>
        </w:tc>
        <w:tc>
          <w:tcPr>
            <w:tcW w:w="1594" w:type="dxa"/>
          </w:tcPr>
          <w:p w14:paraId="14A72B94" w14:textId="77777777" w:rsidR="00FE0372" w:rsidRPr="003A1874" w:rsidRDefault="00FE0372" w:rsidP="003A1874">
            <w:pPr>
              <w:rPr>
                <w:rFonts w:asciiTheme="majorHAnsi" w:hAnsiTheme="majorHAnsi" w:cstheme="majorHAnsi"/>
                <w:sz w:val="22"/>
              </w:rPr>
            </w:pPr>
          </w:p>
        </w:tc>
      </w:tr>
      <w:tr w:rsidR="00FE0372" w:rsidRPr="003A1874" w14:paraId="4714B633" w14:textId="77777777" w:rsidTr="003A1874">
        <w:tc>
          <w:tcPr>
            <w:tcW w:w="921" w:type="dxa"/>
          </w:tcPr>
          <w:p w14:paraId="59FF8984"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3.4</w:t>
            </w:r>
          </w:p>
        </w:tc>
        <w:tc>
          <w:tcPr>
            <w:tcW w:w="7371" w:type="dxa"/>
          </w:tcPr>
          <w:p w14:paraId="719C1984"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Business Development</w:t>
            </w:r>
          </w:p>
          <w:p w14:paraId="6BB324A8" w14:textId="77777777" w:rsidR="003A1874" w:rsidRDefault="003A1874" w:rsidP="003A1874">
            <w:pPr>
              <w:jc w:val="both"/>
              <w:rPr>
                <w:rFonts w:asciiTheme="majorHAnsi" w:hAnsiTheme="majorHAnsi" w:cstheme="majorHAnsi"/>
                <w:sz w:val="22"/>
              </w:rPr>
            </w:pPr>
          </w:p>
          <w:p w14:paraId="2A77BE6C"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received the Business Development update, including progress on the QEF transition and financial model, remote alarm management, current service opportunities, SLAs, cleaning-specification discussions, PFI/fire-safety activity and the </w:t>
            </w:r>
            <w:proofErr w:type="gramStart"/>
            <w:r w:rsidRPr="003A1874">
              <w:rPr>
                <w:rFonts w:asciiTheme="majorHAnsi" w:hAnsiTheme="majorHAnsi" w:cstheme="majorHAnsi"/>
                <w:sz w:val="22"/>
              </w:rPr>
              <w:t>developing</w:t>
            </w:r>
            <w:proofErr w:type="gramEnd"/>
            <w:r w:rsidRPr="003A1874">
              <w:rPr>
                <w:rFonts w:asciiTheme="majorHAnsi" w:hAnsiTheme="majorHAnsi" w:cstheme="majorHAnsi"/>
                <w:sz w:val="22"/>
              </w:rPr>
              <w:t xml:space="preserve"> Business Development Plan and three-year strategy. The Board welcomed the structure of the plan and discussed alignment with the wider SCL strategy and opportunities arising from </w:t>
            </w:r>
            <w:proofErr w:type="spellStart"/>
            <w:r w:rsidRPr="003A1874">
              <w:rPr>
                <w:rFonts w:asciiTheme="majorHAnsi" w:hAnsiTheme="majorHAnsi" w:cstheme="majorHAnsi"/>
                <w:sz w:val="22"/>
              </w:rPr>
              <w:t>digitisation</w:t>
            </w:r>
            <w:proofErr w:type="spellEnd"/>
            <w:r w:rsidRPr="003A1874">
              <w:rPr>
                <w:rFonts w:asciiTheme="majorHAnsi" w:hAnsiTheme="majorHAnsi" w:cstheme="majorHAnsi"/>
                <w:sz w:val="22"/>
              </w:rPr>
              <w:t xml:space="preserve"> and AI.</w:t>
            </w:r>
          </w:p>
          <w:p w14:paraId="419BA759" w14:textId="77777777" w:rsidR="003A1874" w:rsidRDefault="003A1874" w:rsidP="003A1874">
            <w:pPr>
              <w:jc w:val="both"/>
              <w:rPr>
                <w:rFonts w:asciiTheme="majorHAnsi" w:hAnsiTheme="majorHAnsi" w:cstheme="majorHAnsi"/>
                <w:sz w:val="22"/>
              </w:rPr>
            </w:pPr>
          </w:p>
          <w:p w14:paraId="14DC72D1"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Action: Circulate the final Business Development Plan by email.</w:t>
            </w:r>
          </w:p>
          <w:p w14:paraId="3478F8AC" w14:textId="77777777" w:rsidR="003A1874" w:rsidRDefault="003A1874" w:rsidP="003A1874">
            <w:pPr>
              <w:jc w:val="both"/>
              <w:rPr>
                <w:rFonts w:asciiTheme="majorHAnsi" w:hAnsiTheme="majorHAnsi" w:cstheme="majorHAnsi"/>
                <w:sz w:val="22"/>
              </w:rPr>
            </w:pPr>
          </w:p>
          <w:p w14:paraId="00ED2388"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w:t>
            </w:r>
            <w:proofErr w:type="gramStart"/>
            <w:r w:rsidRPr="003A1874">
              <w:rPr>
                <w:rFonts w:asciiTheme="majorHAnsi" w:hAnsiTheme="majorHAnsi" w:cstheme="majorHAnsi"/>
                <w:sz w:val="22"/>
              </w:rPr>
              <w:t>RESOLVED to</w:t>
            </w:r>
            <w:proofErr w:type="gramEnd"/>
            <w:r w:rsidRPr="003A1874">
              <w:rPr>
                <w:rFonts w:asciiTheme="majorHAnsi" w:hAnsiTheme="majorHAnsi" w:cstheme="majorHAnsi"/>
                <w:sz w:val="22"/>
              </w:rPr>
              <w:t xml:space="preserve"> NOTE the report.</w:t>
            </w:r>
          </w:p>
          <w:p w14:paraId="46864D8E" w14:textId="77777777" w:rsidR="003A1874" w:rsidRDefault="003A1874" w:rsidP="003A1874">
            <w:pPr>
              <w:jc w:val="both"/>
              <w:rPr>
                <w:rFonts w:asciiTheme="majorHAnsi" w:hAnsiTheme="majorHAnsi" w:cstheme="majorHAnsi"/>
                <w:sz w:val="22"/>
              </w:rPr>
            </w:pPr>
          </w:p>
          <w:p w14:paraId="3B4B68E4" w14:textId="2478BA0D" w:rsidR="00FE0372" w:rsidRPr="003A1874" w:rsidRDefault="00122237" w:rsidP="003A1874">
            <w:pPr>
              <w:jc w:val="both"/>
              <w:rPr>
                <w:rFonts w:asciiTheme="majorHAnsi" w:hAnsiTheme="majorHAnsi" w:cstheme="majorHAnsi"/>
                <w:b/>
                <w:sz w:val="22"/>
              </w:rPr>
            </w:pPr>
            <w:r w:rsidRPr="003A1874">
              <w:rPr>
                <w:rFonts w:asciiTheme="majorHAnsi" w:hAnsiTheme="majorHAnsi" w:cstheme="majorHAnsi"/>
                <w:sz w:val="22"/>
              </w:rPr>
              <w:t>[REDACTED – detailed commercial and financial modelling, VAT/transfer-pricing treatment, contract and SLA negotiations, supplier positions, HR/service-delivery arrangements, infrastructure safety mitigations and live PFI negotiating positions.]</w:t>
            </w:r>
          </w:p>
        </w:tc>
        <w:tc>
          <w:tcPr>
            <w:tcW w:w="1594" w:type="dxa"/>
          </w:tcPr>
          <w:p w14:paraId="5703C7CC"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r>
      <w:tr w:rsidR="00FE0372" w:rsidRPr="003A1874" w14:paraId="5B7111DB" w14:textId="77777777" w:rsidTr="003A1874">
        <w:tc>
          <w:tcPr>
            <w:tcW w:w="921" w:type="dxa"/>
          </w:tcPr>
          <w:p w14:paraId="009E9B3F"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3.5</w:t>
            </w:r>
          </w:p>
        </w:tc>
        <w:tc>
          <w:tcPr>
            <w:tcW w:w="7371" w:type="dxa"/>
          </w:tcPr>
          <w:p w14:paraId="13EC648A"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Estates Report</w:t>
            </w:r>
          </w:p>
          <w:p w14:paraId="338017AB" w14:textId="77777777" w:rsidR="003A1874" w:rsidRDefault="003A1874" w:rsidP="003A1874">
            <w:pPr>
              <w:jc w:val="both"/>
              <w:rPr>
                <w:rFonts w:asciiTheme="majorHAnsi" w:hAnsiTheme="majorHAnsi" w:cstheme="majorHAnsi"/>
                <w:b/>
                <w:sz w:val="22"/>
              </w:rPr>
            </w:pPr>
          </w:p>
          <w:p w14:paraId="6FCB9467"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Board received the Estates Report covering backlog, capital and compliance, fire safety, structural and building-fabric risks, the QEF transfer and resourcing, and CHP/decarbonisation activity. The Board noted the continuing challenge of prioritising estates investment within available capital and the need for a systematic approach to fire and structural assurance.</w:t>
            </w:r>
          </w:p>
          <w:p w14:paraId="29F1C4D3" w14:textId="77777777" w:rsidR="003A1874" w:rsidRDefault="003A1874" w:rsidP="003A1874">
            <w:pPr>
              <w:jc w:val="both"/>
              <w:rPr>
                <w:rFonts w:asciiTheme="majorHAnsi" w:hAnsiTheme="majorHAnsi" w:cstheme="majorHAnsi"/>
                <w:sz w:val="22"/>
              </w:rPr>
            </w:pPr>
          </w:p>
          <w:p w14:paraId="2BAF885E"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Board also considered the potential transfer of additional health, safety and fire responsibilities and noted that resource, governance and liability implications would need to be assessed before any change.</w:t>
            </w:r>
          </w:p>
          <w:p w14:paraId="4C177FF7" w14:textId="77777777" w:rsidR="003A1874" w:rsidRDefault="003A1874" w:rsidP="003A1874">
            <w:pPr>
              <w:jc w:val="both"/>
              <w:rPr>
                <w:rFonts w:asciiTheme="majorHAnsi" w:hAnsiTheme="majorHAnsi" w:cstheme="majorHAnsi"/>
                <w:sz w:val="22"/>
              </w:rPr>
            </w:pPr>
          </w:p>
          <w:p w14:paraId="2350942B"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 xml:space="preserve">The Board </w:t>
            </w:r>
            <w:proofErr w:type="gramStart"/>
            <w:r w:rsidRPr="003A1874">
              <w:rPr>
                <w:rFonts w:asciiTheme="majorHAnsi" w:hAnsiTheme="majorHAnsi" w:cstheme="majorHAnsi"/>
                <w:sz w:val="22"/>
              </w:rPr>
              <w:t>RESOLVED to</w:t>
            </w:r>
            <w:proofErr w:type="gramEnd"/>
            <w:r w:rsidRPr="003A1874">
              <w:rPr>
                <w:rFonts w:asciiTheme="majorHAnsi" w:hAnsiTheme="majorHAnsi" w:cstheme="majorHAnsi"/>
                <w:sz w:val="22"/>
              </w:rPr>
              <w:t xml:space="preserve"> NOTE the report.</w:t>
            </w:r>
          </w:p>
          <w:p w14:paraId="6F4150C4" w14:textId="77777777" w:rsidR="003A1874" w:rsidRDefault="003A1874" w:rsidP="003A1874">
            <w:pPr>
              <w:jc w:val="both"/>
              <w:rPr>
                <w:rFonts w:asciiTheme="majorHAnsi" w:hAnsiTheme="majorHAnsi" w:cstheme="majorHAnsi"/>
                <w:sz w:val="22"/>
              </w:rPr>
            </w:pPr>
          </w:p>
          <w:p w14:paraId="5FB675C2" w14:textId="6550FE86"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detailed backlog and capital values, fire/building vulnerabilities and proposed costs, staffing and overtime information, specific structural risks, funding models and liability/resource implications.]</w:t>
            </w:r>
          </w:p>
        </w:tc>
        <w:tc>
          <w:tcPr>
            <w:tcW w:w="1594" w:type="dxa"/>
          </w:tcPr>
          <w:p w14:paraId="75D08451" w14:textId="77777777" w:rsidR="00FE0372" w:rsidRPr="003A1874" w:rsidRDefault="00FE0372" w:rsidP="003A1874">
            <w:pPr>
              <w:rPr>
                <w:rFonts w:asciiTheme="majorHAnsi" w:hAnsiTheme="majorHAnsi" w:cstheme="majorHAnsi"/>
                <w:sz w:val="22"/>
              </w:rPr>
            </w:pPr>
          </w:p>
        </w:tc>
      </w:tr>
      <w:tr w:rsidR="00FE0372" w:rsidRPr="003A1874" w14:paraId="2D023922" w14:textId="77777777" w:rsidTr="004532CD">
        <w:tc>
          <w:tcPr>
            <w:tcW w:w="921" w:type="dxa"/>
            <w:shd w:val="clear" w:color="auto" w:fill="B8CCE4" w:themeFill="accent1" w:themeFillTint="66"/>
          </w:tcPr>
          <w:p w14:paraId="1BC6F745"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4</w:t>
            </w:r>
          </w:p>
        </w:tc>
        <w:tc>
          <w:tcPr>
            <w:tcW w:w="7371" w:type="dxa"/>
            <w:shd w:val="clear" w:color="auto" w:fill="B8CCE4" w:themeFill="accent1" w:themeFillTint="66"/>
          </w:tcPr>
          <w:p w14:paraId="3B08DD72"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b/>
                <w:sz w:val="22"/>
              </w:rPr>
              <w:t>Focus Item</w:t>
            </w:r>
          </w:p>
        </w:tc>
        <w:tc>
          <w:tcPr>
            <w:tcW w:w="1594" w:type="dxa"/>
            <w:shd w:val="clear" w:color="auto" w:fill="B8CCE4" w:themeFill="accent1" w:themeFillTint="66"/>
          </w:tcPr>
          <w:p w14:paraId="5E242DE9" w14:textId="77777777" w:rsidR="00FE0372" w:rsidRPr="003A1874" w:rsidRDefault="00FE0372" w:rsidP="003A1874">
            <w:pPr>
              <w:rPr>
                <w:rFonts w:asciiTheme="majorHAnsi" w:hAnsiTheme="majorHAnsi" w:cstheme="majorHAnsi"/>
                <w:sz w:val="22"/>
              </w:rPr>
            </w:pPr>
          </w:p>
        </w:tc>
      </w:tr>
      <w:tr w:rsidR="00FE0372" w:rsidRPr="003A1874" w14:paraId="5441B417" w14:textId="77777777" w:rsidTr="003A1874">
        <w:tc>
          <w:tcPr>
            <w:tcW w:w="921" w:type="dxa"/>
          </w:tcPr>
          <w:p w14:paraId="49569FFF"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4.1</w:t>
            </w:r>
          </w:p>
        </w:tc>
        <w:tc>
          <w:tcPr>
            <w:tcW w:w="7371" w:type="dxa"/>
          </w:tcPr>
          <w:p w14:paraId="547F2683"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Annual Board Planner</w:t>
            </w:r>
          </w:p>
          <w:p w14:paraId="58962F11" w14:textId="77777777" w:rsidR="003A1874" w:rsidRDefault="003A1874" w:rsidP="003A1874">
            <w:pPr>
              <w:jc w:val="both"/>
              <w:rPr>
                <w:rFonts w:asciiTheme="majorHAnsi" w:hAnsiTheme="majorHAnsi" w:cstheme="majorHAnsi"/>
                <w:b/>
                <w:sz w:val="22"/>
              </w:rPr>
            </w:pPr>
          </w:p>
          <w:p w14:paraId="073D040E"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Board reviewed the Annual Board Planner and agreed that the overall meeting structure provided an appropriate rhythm of governance and assurance. It was agreed that the November Board meeting should move to 9 December 2026 and that the planner key should be corrected.</w:t>
            </w:r>
          </w:p>
          <w:p w14:paraId="5A083613" w14:textId="77777777" w:rsidR="003A1874" w:rsidRDefault="003A1874" w:rsidP="003A1874">
            <w:pPr>
              <w:jc w:val="both"/>
              <w:rPr>
                <w:rFonts w:asciiTheme="majorHAnsi" w:hAnsiTheme="majorHAnsi" w:cstheme="majorHAnsi"/>
                <w:sz w:val="22"/>
              </w:rPr>
            </w:pPr>
          </w:p>
          <w:p w14:paraId="1B44E0E4" w14:textId="4AD149C7"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lastRenderedPageBreak/>
              <w:t>Actions: Move the November Board meeting to 9 December 2026 and correct the initials shown in the planner key.</w:t>
            </w:r>
          </w:p>
        </w:tc>
        <w:tc>
          <w:tcPr>
            <w:tcW w:w="1594" w:type="dxa"/>
          </w:tcPr>
          <w:p w14:paraId="3C7449D8"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lastRenderedPageBreak/>
              <w:t>[REDACTED]</w:t>
            </w:r>
          </w:p>
        </w:tc>
      </w:tr>
      <w:tr w:rsidR="00FE0372" w:rsidRPr="003A1874" w14:paraId="6748EA8C" w14:textId="77777777" w:rsidTr="003A1874">
        <w:tc>
          <w:tcPr>
            <w:tcW w:w="921" w:type="dxa"/>
          </w:tcPr>
          <w:p w14:paraId="77A6C146"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4.2</w:t>
            </w:r>
          </w:p>
        </w:tc>
        <w:tc>
          <w:tcPr>
            <w:tcW w:w="7371" w:type="dxa"/>
          </w:tcPr>
          <w:p w14:paraId="530E875A"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Risk Management</w:t>
            </w:r>
          </w:p>
          <w:p w14:paraId="7891DEA1"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br/>
              <w:t>The Board reviewed the March 2026 risk register. The Chair requested clearer narrative wherever risk scores changed and queried a duplicated risk entry and the adequacy of mitigation recorded for the service-yard risk. The Board emphasised that risks should be actively reviewed once mitigations were in place.</w:t>
            </w:r>
          </w:p>
          <w:p w14:paraId="74B7E9BD" w14:textId="77777777" w:rsidR="003A1874" w:rsidRDefault="003A1874" w:rsidP="003A1874">
            <w:pPr>
              <w:jc w:val="both"/>
              <w:rPr>
                <w:rFonts w:asciiTheme="majorHAnsi" w:hAnsiTheme="majorHAnsi" w:cstheme="majorHAnsi"/>
                <w:sz w:val="22"/>
              </w:rPr>
            </w:pPr>
          </w:p>
          <w:p w14:paraId="61976BD7"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Actions: Add clear explanatory narrative for changes in risk scores; check and correct the duplicated risk entry; and strengthen the recorded mitigation for the service-yard risk.</w:t>
            </w:r>
          </w:p>
          <w:p w14:paraId="6B0F190A" w14:textId="77777777" w:rsidR="003A1874" w:rsidRDefault="003A1874" w:rsidP="003A1874">
            <w:pPr>
              <w:jc w:val="both"/>
              <w:rPr>
                <w:rFonts w:asciiTheme="majorHAnsi" w:hAnsiTheme="majorHAnsi" w:cstheme="majorHAnsi"/>
                <w:sz w:val="22"/>
              </w:rPr>
            </w:pPr>
          </w:p>
          <w:p w14:paraId="5351A259" w14:textId="0910F837"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detailed risk scores, specific infrastructure vulnerabilities, operational-control weaknesses and live mitigation arrangements.]</w:t>
            </w:r>
          </w:p>
        </w:tc>
        <w:tc>
          <w:tcPr>
            <w:tcW w:w="1594" w:type="dxa"/>
          </w:tcPr>
          <w:p w14:paraId="7DCE1D59"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[REDACTED]</w:t>
            </w:r>
          </w:p>
        </w:tc>
      </w:tr>
      <w:tr w:rsidR="00FE0372" w:rsidRPr="003A1874" w14:paraId="275CF7F0" w14:textId="77777777" w:rsidTr="003A1874">
        <w:tc>
          <w:tcPr>
            <w:tcW w:w="921" w:type="dxa"/>
          </w:tcPr>
          <w:p w14:paraId="735AE994"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4.3</w:t>
            </w:r>
          </w:p>
        </w:tc>
        <w:tc>
          <w:tcPr>
            <w:tcW w:w="7371" w:type="dxa"/>
          </w:tcPr>
          <w:p w14:paraId="2251BCCE" w14:textId="77777777" w:rsid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Identify matters to be escalated to Trust or cascaded to the Senior Leadership Team</w:t>
            </w:r>
          </w:p>
          <w:p w14:paraId="01745F03" w14:textId="77777777" w:rsidR="003A1874" w:rsidRDefault="003A1874" w:rsidP="003A1874">
            <w:pPr>
              <w:jc w:val="both"/>
              <w:rPr>
                <w:rFonts w:asciiTheme="majorHAnsi" w:hAnsiTheme="majorHAnsi" w:cstheme="majorHAnsi"/>
                <w:b/>
                <w:sz w:val="22"/>
              </w:rPr>
            </w:pPr>
          </w:p>
          <w:p w14:paraId="3A143990" w14:textId="77777777" w:rsidR="003A1874" w:rsidRDefault="00122237" w:rsidP="003A1874">
            <w:pPr>
              <w:jc w:val="both"/>
              <w:rPr>
                <w:rFonts w:asciiTheme="majorHAnsi" w:hAnsiTheme="majorHAnsi" w:cstheme="majorHAnsi"/>
                <w:sz w:val="22"/>
              </w:rPr>
            </w:pPr>
            <w:r w:rsidRPr="003A1874">
              <w:rPr>
                <w:rFonts w:asciiTheme="majorHAnsi" w:hAnsiTheme="majorHAnsi" w:cstheme="majorHAnsi"/>
                <w:sz w:val="22"/>
              </w:rPr>
              <w:t>The Board identified matters requiring Trust awareness or escalation, including the need for timely estates decisions, procurement/LLP matters, the dependency of the Estates Strategy on completion of the Trust Clinical Strategy, and further clarity regarding potential community-property arrangements. The Board agreed that confirmation of the Clinical Strategy timetable should be sought.</w:t>
            </w:r>
          </w:p>
          <w:p w14:paraId="21968413" w14:textId="77777777" w:rsidR="003A1874" w:rsidRDefault="003A1874" w:rsidP="003A1874">
            <w:pPr>
              <w:jc w:val="both"/>
              <w:rPr>
                <w:rFonts w:asciiTheme="majorHAnsi" w:hAnsiTheme="majorHAnsi" w:cstheme="majorHAnsi"/>
                <w:sz w:val="22"/>
              </w:rPr>
            </w:pPr>
          </w:p>
          <w:p w14:paraId="01BFC21D" w14:textId="34F12148" w:rsidR="00FE0372" w:rsidRPr="003A1874" w:rsidRDefault="00122237" w:rsidP="003A1874">
            <w:pPr>
              <w:jc w:val="both"/>
              <w:rPr>
                <w:rFonts w:asciiTheme="majorHAnsi" w:hAnsiTheme="majorHAnsi" w:cstheme="majorHAnsi"/>
                <w:sz w:val="22"/>
              </w:rPr>
            </w:pPr>
            <w:r w:rsidRPr="003A1874">
              <w:rPr>
                <w:rFonts w:asciiTheme="majorHAnsi" w:hAnsiTheme="majorHAnsi" w:cstheme="majorHAnsi"/>
                <w:sz w:val="22"/>
              </w:rPr>
              <w:t>[REDACTED – detailed procurement/contract matters, internal escalation routes, property-transfer considerations and live negotiating positions.]</w:t>
            </w:r>
          </w:p>
        </w:tc>
        <w:tc>
          <w:tcPr>
            <w:tcW w:w="1594" w:type="dxa"/>
          </w:tcPr>
          <w:p w14:paraId="34868304" w14:textId="77777777" w:rsidR="00FE0372" w:rsidRPr="003A1874" w:rsidRDefault="00FE0372" w:rsidP="003A1874">
            <w:pPr>
              <w:rPr>
                <w:rFonts w:asciiTheme="majorHAnsi" w:hAnsiTheme="majorHAnsi" w:cstheme="majorHAnsi"/>
                <w:sz w:val="22"/>
              </w:rPr>
            </w:pPr>
          </w:p>
        </w:tc>
      </w:tr>
      <w:tr w:rsidR="00FE0372" w:rsidRPr="003A1874" w14:paraId="45E3F3C6" w14:textId="77777777" w:rsidTr="004532CD">
        <w:tc>
          <w:tcPr>
            <w:tcW w:w="921" w:type="dxa"/>
            <w:shd w:val="clear" w:color="auto" w:fill="B8CCE4" w:themeFill="accent1" w:themeFillTint="66"/>
          </w:tcPr>
          <w:p w14:paraId="34A0879B"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5</w:t>
            </w:r>
          </w:p>
        </w:tc>
        <w:tc>
          <w:tcPr>
            <w:tcW w:w="7371" w:type="dxa"/>
            <w:shd w:val="clear" w:color="auto" w:fill="B8CCE4" w:themeFill="accent1" w:themeFillTint="66"/>
          </w:tcPr>
          <w:p w14:paraId="0D7F21D9" w14:textId="7102515E" w:rsidR="00FE0372" w:rsidRP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 xml:space="preserve">Any other business (including matters referred </w:t>
            </w:r>
            <w:proofErr w:type="gramStart"/>
            <w:r w:rsidRPr="003A1874">
              <w:rPr>
                <w:rFonts w:asciiTheme="majorHAnsi" w:hAnsiTheme="majorHAnsi" w:cstheme="majorHAnsi"/>
                <w:b/>
                <w:sz w:val="22"/>
              </w:rPr>
              <w:t>from</w:t>
            </w:r>
            <w:proofErr w:type="gramEnd"/>
            <w:r w:rsidRPr="003A1874">
              <w:rPr>
                <w:rFonts w:asciiTheme="majorHAnsi" w:hAnsiTheme="majorHAnsi" w:cstheme="majorHAnsi"/>
                <w:b/>
                <w:sz w:val="22"/>
              </w:rPr>
              <w:t xml:space="preserve"> the Senior Leadership Team)</w:t>
            </w:r>
          </w:p>
        </w:tc>
        <w:tc>
          <w:tcPr>
            <w:tcW w:w="1594" w:type="dxa"/>
            <w:shd w:val="clear" w:color="auto" w:fill="B8CCE4" w:themeFill="accent1" w:themeFillTint="66"/>
          </w:tcPr>
          <w:p w14:paraId="614241D2" w14:textId="77777777" w:rsidR="00FE0372" w:rsidRPr="003A1874" w:rsidRDefault="00FE0372" w:rsidP="003A1874">
            <w:pPr>
              <w:rPr>
                <w:rFonts w:asciiTheme="majorHAnsi" w:hAnsiTheme="majorHAnsi" w:cstheme="majorHAnsi"/>
                <w:sz w:val="22"/>
              </w:rPr>
            </w:pPr>
          </w:p>
        </w:tc>
      </w:tr>
      <w:tr w:rsidR="003A1874" w:rsidRPr="003A1874" w14:paraId="493490AF" w14:textId="77777777" w:rsidTr="003A1874">
        <w:tc>
          <w:tcPr>
            <w:tcW w:w="921" w:type="dxa"/>
          </w:tcPr>
          <w:p w14:paraId="4C67391A" w14:textId="77777777" w:rsidR="003A1874" w:rsidRPr="003A1874" w:rsidRDefault="003A1874" w:rsidP="003A1874">
            <w:pPr>
              <w:rPr>
                <w:rFonts w:asciiTheme="majorHAnsi" w:hAnsiTheme="majorHAnsi" w:cstheme="majorHAnsi"/>
                <w:sz w:val="22"/>
              </w:rPr>
            </w:pPr>
          </w:p>
        </w:tc>
        <w:tc>
          <w:tcPr>
            <w:tcW w:w="7371" w:type="dxa"/>
          </w:tcPr>
          <w:p w14:paraId="160BDF94" w14:textId="77777777" w:rsidR="003A1874" w:rsidRDefault="003A1874" w:rsidP="003A1874">
            <w:pPr>
              <w:jc w:val="both"/>
              <w:rPr>
                <w:rFonts w:asciiTheme="majorHAnsi" w:hAnsiTheme="majorHAnsi" w:cstheme="majorHAnsi"/>
                <w:sz w:val="22"/>
              </w:rPr>
            </w:pPr>
          </w:p>
          <w:p w14:paraId="2F06684C" w14:textId="38A110BC" w:rsidR="003A1874" w:rsidRPr="003A1874" w:rsidRDefault="003A1874" w:rsidP="003A1874">
            <w:pPr>
              <w:jc w:val="both"/>
              <w:rPr>
                <w:rFonts w:asciiTheme="majorHAnsi" w:hAnsiTheme="majorHAnsi" w:cstheme="majorHAnsi"/>
                <w:b/>
                <w:sz w:val="22"/>
              </w:rPr>
            </w:pPr>
            <w:r w:rsidRPr="003A1874">
              <w:rPr>
                <w:rFonts w:asciiTheme="majorHAnsi" w:hAnsiTheme="majorHAnsi" w:cstheme="majorHAnsi"/>
                <w:sz w:val="22"/>
              </w:rPr>
              <w:t>No other business was raised.</w:t>
            </w:r>
          </w:p>
        </w:tc>
        <w:tc>
          <w:tcPr>
            <w:tcW w:w="1594" w:type="dxa"/>
          </w:tcPr>
          <w:p w14:paraId="23DBFAE3" w14:textId="77777777" w:rsidR="003A1874" w:rsidRPr="003A1874" w:rsidRDefault="003A1874" w:rsidP="003A1874">
            <w:pPr>
              <w:rPr>
                <w:rFonts w:asciiTheme="majorHAnsi" w:hAnsiTheme="majorHAnsi" w:cstheme="majorHAnsi"/>
                <w:sz w:val="22"/>
              </w:rPr>
            </w:pPr>
          </w:p>
        </w:tc>
      </w:tr>
      <w:tr w:rsidR="00FE0372" w:rsidRPr="003A1874" w14:paraId="0C34F885" w14:textId="77777777" w:rsidTr="004532CD">
        <w:tc>
          <w:tcPr>
            <w:tcW w:w="921" w:type="dxa"/>
            <w:shd w:val="clear" w:color="auto" w:fill="B8CCE4" w:themeFill="accent1" w:themeFillTint="66"/>
          </w:tcPr>
          <w:p w14:paraId="550BCEA4" w14:textId="77777777" w:rsidR="00FE0372" w:rsidRPr="003A1874" w:rsidRDefault="00122237" w:rsidP="003A1874">
            <w:pPr>
              <w:rPr>
                <w:rFonts w:asciiTheme="majorHAnsi" w:hAnsiTheme="majorHAnsi" w:cstheme="majorHAnsi"/>
                <w:sz w:val="22"/>
              </w:rPr>
            </w:pPr>
            <w:r w:rsidRPr="003A1874">
              <w:rPr>
                <w:rFonts w:asciiTheme="majorHAnsi" w:hAnsiTheme="majorHAnsi" w:cstheme="majorHAnsi"/>
                <w:sz w:val="22"/>
              </w:rPr>
              <w:t>6</w:t>
            </w:r>
          </w:p>
        </w:tc>
        <w:tc>
          <w:tcPr>
            <w:tcW w:w="7371" w:type="dxa"/>
            <w:shd w:val="clear" w:color="auto" w:fill="B8CCE4" w:themeFill="accent1" w:themeFillTint="66"/>
          </w:tcPr>
          <w:p w14:paraId="41035001" w14:textId="0801658A" w:rsidR="00FE0372" w:rsidRPr="003A1874" w:rsidRDefault="00122237" w:rsidP="003A1874">
            <w:pPr>
              <w:jc w:val="both"/>
              <w:rPr>
                <w:rFonts w:asciiTheme="majorHAnsi" w:hAnsiTheme="majorHAnsi" w:cstheme="majorHAnsi"/>
                <w:b/>
                <w:sz w:val="22"/>
              </w:rPr>
            </w:pPr>
            <w:r w:rsidRPr="003A1874">
              <w:rPr>
                <w:rFonts w:asciiTheme="majorHAnsi" w:hAnsiTheme="majorHAnsi" w:cstheme="majorHAnsi"/>
                <w:b/>
                <w:sz w:val="22"/>
              </w:rPr>
              <w:t>Date, Time and Venue of Next Board Meeting</w:t>
            </w:r>
          </w:p>
        </w:tc>
        <w:tc>
          <w:tcPr>
            <w:tcW w:w="1594" w:type="dxa"/>
            <w:shd w:val="clear" w:color="auto" w:fill="B8CCE4" w:themeFill="accent1" w:themeFillTint="66"/>
          </w:tcPr>
          <w:p w14:paraId="37211BD1" w14:textId="77777777" w:rsidR="00FE0372" w:rsidRPr="003A1874" w:rsidRDefault="00FE0372" w:rsidP="003A1874">
            <w:pPr>
              <w:rPr>
                <w:rFonts w:asciiTheme="majorHAnsi" w:hAnsiTheme="majorHAnsi" w:cstheme="majorHAnsi"/>
                <w:sz w:val="22"/>
              </w:rPr>
            </w:pPr>
          </w:p>
        </w:tc>
      </w:tr>
      <w:tr w:rsidR="003A1874" w:rsidRPr="003A1874" w14:paraId="52E1D899" w14:textId="77777777" w:rsidTr="003A1874">
        <w:tc>
          <w:tcPr>
            <w:tcW w:w="921" w:type="dxa"/>
          </w:tcPr>
          <w:p w14:paraId="32C0E956" w14:textId="77777777" w:rsidR="003A1874" w:rsidRPr="003A1874" w:rsidRDefault="003A1874" w:rsidP="003A1874">
            <w:pPr>
              <w:rPr>
                <w:rFonts w:asciiTheme="majorHAnsi" w:hAnsiTheme="majorHAnsi" w:cstheme="majorHAnsi"/>
                <w:sz w:val="22"/>
              </w:rPr>
            </w:pPr>
          </w:p>
        </w:tc>
        <w:tc>
          <w:tcPr>
            <w:tcW w:w="7371" w:type="dxa"/>
          </w:tcPr>
          <w:p w14:paraId="1BFCA395" w14:textId="77777777" w:rsidR="003A1874" w:rsidRDefault="003A1874" w:rsidP="003A1874">
            <w:pPr>
              <w:jc w:val="both"/>
              <w:rPr>
                <w:rFonts w:asciiTheme="majorHAnsi" w:hAnsiTheme="majorHAnsi" w:cstheme="majorHAnsi"/>
                <w:sz w:val="22"/>
              </w:rPr>
            </w:pPr>
          </w:p>
          <w:p w14:paraId="2DC44682" w14:textId="608CFE17" w:rsidR="003A1874" w:rsidRPr="003A1874" w:rsidRDefault="003A1874" w:rsidP="003A1874">
            <w:pPr>
              <w:jc w:val="both"/>
              <w:rPr>
                <w:rFonts w:asciiTheme="majorHAnsi" w:hAnsiTheme="majorHAnsi" w:cstheme="majorHAnsi"/>
                <w:b/>
                <w:sz w:val="22"/>
              </w:rPr>
            </w:pPr>
            <w:r w:rsidRPr="003A1874">
              <w:rPr>
                <w:rFonts w:asciiTheme="majorHAnsi" w:hAnsiTheme="majorHAnsi" w:cstheme="majorHAnsi"/>
                <w:sz w:val="22"/>
              </w:rPr>
              <w:t>Next Board Meeting scheduled for Tuesday 28 April 2026 – 15:00–17:30 – SCL Meeting Room, DMH.</w:t>
            </w:r>
          </w:p>
        </w:tc>
        <w:tc>
          <w:tcPr>
            <w:tcW w:w="1594" w:type="dxa"/>
          </w:tcPr>
          <w:p w14:paraId="5DD1C0E4" w14:textId="77777777" w:rsidR="003A1874" w:rsidRPr="003A1874" w:rsidRDefault="003A1874" w:rsidP="003A1874">
            <w:pPr>
              <w:rPr>
                <w:rFonts w:asciiTheme="majorHAnsi" w:hAnsiTheme="majorHAnsi" w:cstheme="majorHAnsi"/>
                <w:sz w:val="22"/>
              </w:rPr>
            </w:pPr>
          </w:p>
        </w:tc>
      </w:tr>
    </w:tbl>
    <w:p w14:paraId="672EC6C1" w14:textId="4331AED5" w:rsidR="00FE0372" w:rsidRPr="003A1874" w:rsidRDefault="00FE0372" w:rsidP="003A1874">
      <w:pPr>
        <w:rPr>
          <w:rFonts w:asciiTheme="majorHAnsi" w:hAnsiTheme="majorHAnsi" w:cstheme="majorHAnsi"/>
          <w:sz w:val="22"/>
        </w:rPr>
      </w:pPr>
    </w:p>
    <w:sectPr w:rsidR="00FE0372" w:rsidRPr="003A1874">
      <w:footerReference w:type="default" r:id="rId9"/>
      <w:pgSz w:w="11906" w:h="16838"/>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1BC7" w14:textId="77777777" w:rsidR="00290E21" w:rsidRDefault="00290E21">
      <w:pPr>
        <w:spacing w:line="240" w:lineRule="auto"/>
      </w:pPr>
      <w:r>
        <w:separator/>
      </w:r>
    </w:p>
  </w:endnote>
  <w:endnote w:type="continuationSeparator" w:id="0">
    <w:p w14:paraId="00ADFE88" w14:textId="77777777" w:rsidR="00290E21" w:rsidRDefault="00290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28A9" w14:textId="77777777" w:rsidR="00FE0372" w:rsidRDefault="00122237">
    <w:pPr>
      <w:pStyle w:val="Footer"/>
      <w:jc w:val="center"/>
    </w:pPr>
    <w:r>
      <w:rPr>
        <w:sz w:val="14"/>
      </w:rPr>
      <w:t>Synchronicity Care Limited</w:t>
    </w:r>
    <w:r>
      <w:rPr>
        <w:sz w:val="14"/>
      </w:rPr>
      <w:br/>
      <w:t xml:space="preserve">Registered Address: Darlington Memorial Hospital, </w:t>
    </w:r>
    <w:proofErr w:type="spellStart"/>
    <w:r>
      <w:rPr>
        <w:sz w:val="14"/>
      </w:rPr>
      <w:t>Hollyhurst</w:t>
    </w:r>
    <w:proofErr w:type="spellEnd"/>
    <w:r>
      <w:rPr>
        <w:sz w:val="14"/>
      </w:rPr>
      <w:t xml:space="preserve"> Road, Darlington DL3 6HX</w:t>
    </w:r>
    <w:r>
      <w:rPr>
        <w:sz w:val="14"/>
      </w:rPr>
      <w:br/>
      <w:t>Registered Company Number: 9679630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566AD" w14:textId="77777777" w:rsidR="00290E21" w:rsidRDefault="00290E21">
      <w:pPr>
        <w:spacing w:line="240" w:lineRule="auto"/>
      </w:pPr>
      <w:r>
        <w:separator/>
      </w:r>
    </w:p>
  </w:footnote>
  <w:footnote w:type="continuationSeparator" w:id="0">
    <w:p w14:paraId="224AE5D5" w14:textId="77777777" w:rsidR="00290E21" w:rsidRDefault="00290E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2743696">
    <w:abstractNumId w:val="8"/>
  </w:num>
  <w:num w:numId="2" w16cid:durableId="446850193">
    <w:abstractNumId w:val="6"/>
  </w:num>
  <w:num w:numId="3" w16cid:durableId="991254375">
    <w:abstractNumId w:val="5"/>
  </w:num>
  <w:num w:numId="4" w16cid:durableId="385105131">
    <w:abstractNumId w:val="4"/>
  </w:num>
  <w:num w:numId="5" w16cid:durableId="80421242">
    <w:abstractNumId w:val="7"/>
  </w:num>
  <w:num w:numId="6" w16cid:durableId="939221008">
    <w:abstractNumId w:val="3"/>
  </w:num>
  <w:num w:numId="7" w16cid:durableId="728958152">
    <w:abstractNumId w:val="2"/>
  </w:num>
  <w:num w:numId="8" w16cid:durableId="2074697405">
    <w:abstractNumId w:val="1"/>
  </w:num>
  <w:num w:numId="9" w16cid:durableId="858355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2237"/>
    <w:rsid w:val="0015074B"/>
    <w:rsid w:val="00290E21"/>
    <w:rsid w:val="0029639D"/>
    <w:rsid w:val="00326F90"/>
    <w:rsid w:val="003A1874"/>
    <w:rsid w:val="004532CD"/>
    <w:rsid w:val="00AA1D8D"/>
    <w:rsid w:val="00B47730"/>
    <w:rsid w:val="00B9070D"/>
    <w:rsid w:val="00CB0664"/>
    <w:rsid w:val="00DB59DE"/>
    <w:rsid w:val="00FC693F"/>
    <w:rsid w:val="00FE0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2D1E7E"/>
  <w14:defaultImageDpi w14:val="300"/>
  <w15:docId w15:val="{77AF94C1-AAD8-41F9-8D13-2930864D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Board Minutes - 4 February 2026</dc:title>
  <dc:subject/>
  <dc:creator>Synchronicity Care Limited</dc:creator>
  <cp:keywords/>
  <dc:description/>
  <cp:lastModifiedBy>THOMPSON, Katherine (COUNTY DURHAM AND DARLINGTON NHS FOUNDATION TRUST)</cp:lastModifiedBy>
  <cp:revision>3</cp:revision>
  <dcterms:created xsi:type="dcterms:W3CDTF">2026-09-17T14:50:00Z</dcterms:created>
  <dcterms:modified xsi:type="dcterms:W3CDTF">2026-09-17T14:58:00Z</dcterms:modified>
  <cp:category/>
</cp:coreProperties>
</file>