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59209" w14:textId="77777777" w:rsidR="000E1D9E" w:rsidRPr="005A3772" w:rsidRDefault="008363AF">
      <w:pPr>
        <w:spacing w:after="60"/>
        <w:jc w:val="right"/>
        <w:rPr>
          <w:rFonts w:asciiTheme="majorHAnsi" w:hAnsiTheme="majorHAnsi" w:cstheme="majorHAnsi"/>
          <w:sz w:val="22"/>
        </w:rPr>
      </w:pPr>
      <w:r w:rsidRPr="005A3772">
        <w:rPr>
          <w:rFonts w:asciiTheme="majorHAnsi" w:hAnsiTheme="majorHAnsi" w:cstheme="majorHAnsi"/>
          <w:noProof/>
          <w:sz w:val="22"/>
        </w:rPr>
        <w:drawing>
          <wp:inline distT="0" distB="0" distL="0" distR="0" wp14:anchorId="2CC2D4C0" wp14:editId="4968840B">
            <wp:extent cx="1508760" cy="84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_logo.png"/>
                    <pic:cNvPicPr/>
                  </pic:nvPicPr>
                  <pic:blipFill>
                    <a:blip r:embed="rId8"/>
                    <a:stretch>
                      <a:fillRect/>
                    </a:stretch>
                  </pic:blipFill>
                  <pic:spPr>
                    <a:xfrm>
                      <a:off x="0" y="0"/>
                      <a:ext cx="1508760" cy="844352"/>
                    </a:xfrm>
                    <a:prstGeom prst="rect">
                      <a:avLst/>
                    </a:prstGeom>
                  </pic:spPr>
                </pic:pic>
              </a:graphicData>
            </a:graphic>
          </wp:inline>
        </w:drawing>
      </w:r>
    </w:p>
    <w:p w14:paraId="462029ED" w14:textId="77777777" w:rsidR="000E1D9E" w:rsidRPr="005A3772" w:rsidRDefault="008363AF">
      <w:pPr>
        <w:jc w:val="center"/>
        <w:rPr>
          <w:rFonts w:asciiTheme="majorHAnsi" w:hAnsiTheme="majorHAnsi" w:cstheme="majorHAnsi"/>
          <w:sz w:val="22"/>
        </w:rPr>
      </w:pPr>
      <w:r w:rsidRPr="005A3772">
        <w:rPr>
          <w:rFonts w:asciiTheme="majorHAnsi" w:hAnsiTheme="majorHAnsi" w:cstheme="majorHAnsi"/>
          <w:b/>
          <w:sz w:val="22"/>
        </w:rPr>
        <w:t>SYNCHRONICITY CARE LIMITED</w:t>
      </w:r>
    </w:p>
    <w:p w14:paraId="5AF54DF3" w14:textId="77777777" w:rsidR="000E1D9E" w:rsidRPr="005A3772" w:rsidRDefault="008363AF">
      <w:pPr>
        <w:jc w:val="center"/>
        <w:rPr>
          <w:rFonts w:asciiTheme="majorHAnsi" w:hAnsiTheme="majorHAnsi" w:cstheme="majorHAnsi"/>
          <w:sz w:val="22"/>
        </w:rPr>
      </w:pPr>
      <w:r w:rsidRPr="005A3772">
        <w:rPr>
          <w:rFonts w:asciiTheme="majorHAnsi" w:hAnsiTheme="majorHAnsi" w:cstheme="majorHAnsi"/>
          <w:b/>
          <w:sz w:val="22"/>
        </w:rPr>
        <w:t>(Company Number: 9679630)</w:t>
      </w:r>
    </w:p>
    <w:p w14:paraId="0FBC4FDA" w14:textId="77777777" w:rsidR="000E1D9E" w:rsidRPr="005A3772" w:rsidRDefault="008363AF">
      <w:pPr>
        <w:jc w:val="center"/>
        <w:rPr>
          <w:rFonts w:asciiTheme="majorHAnsi" w:hAnsiTheme="majorHAnsi" w:cstheme="majorHAnsi"/>
          <w:sz w:val="22"/>
        </w:rPr>
      </w:pPr>
      <w:r w:rsidRPr="005A3772">
        <w:rPr>
          <w:rFonts w:asciiTheme="majorHAnsi" w:hAnsiTheme="majorHAnsi" w:cstheme="majorHAnsi"/>
          <w:b/>
          <w:sz w:val="22"/>
        </w:rPr>
        <w:t>(the “Company”)</w:t>
      </w:r>
    </w:p>
    <w:p w14:paraId="4650193D" w14:textId="77777777" w:rsidR="000E1D9E" w:rsidRPr="005A3772" w:rsidRDefault="008363AF">
      <w:pPr>
        <w:spacing w:before="100" w:after="160"/>
        <w:jc w:val="center"/>
        <w:rPr>
          <w:rFonts w:asciiTheme="majorHAnsi" w:hAnsiTheme="majorHAnsi" w:cstheme="majorHAnsi"/>
          <w:sz w:val="22"/>
        </w:rPr>
      </w:pPr>
      <w:r w:rsidRPr="005A3772">
        <w:rPr>
          <w:rFonts w:asciiTheme="majorHAnsi" w:hAnsiTheme="majorHAnsi" w:cstheme="majorHAnsi"/>
          <w:sz w:val="22"/>
        </w:rPr>
        <w:t>Minutes of a meeting of the Board of Directors (the “Board”) held on Monday 3 November 2025,</w:t>
      </w:r>
      <w:r w:rsidRPr="005A3772">
        <w:rPr>
          <w:rFonts w:asciiTheme="majorHAnsi" w:hAnsiTheme="majorHAnsi" w:cstheme="majorHAnsi"/>
          <w:sz w:val="22"/>
        </w:rPr>
        <w:br/>
        <w:t>SCL Meeting Room – DMH</w:t>
      </w:r>
    </w:p>
    <w:tbl>
      <w:tblPr>
        <w:tblStyle w:val="TableGrid"/>
        <w:tblW w:w="0" w:type="auto"/>
        <w:tblLook w:val="04A0" w:firstRow="1" w:lastRow="0" w:firstColumn="1" w:lastColumn="0" w:noHBand="0" w:noVBand="1"/>
      </w:tblPr>
      <w:tblGrid>
        <w:gridCol w:w="1770"/>
        <w:gridCol w:w="7966"/>
      </w:tblGrid>
      <w:tr w:rsidR="000E1D9E" w:rsidRPr="005A3772" w14:paraId="34DA2FE1" w14:textId="77777777" w:rsidTr="00AD174A">
        <w:trPr>
          <w:cantSplit/>
        </w:trPr>
        <w:tc>
          <w:tcPr>
            <w:tcW w:w="9736" w:type="dxa"/>
            <w:gridSpan w:val="2"/>
            <w:shd w:val="clear" w:color="auto" w:fill="B4C6E7"/>
            <w:tcMar>
              <w:top w:w="60" w:type="dxa"/>
              <w:left w:w="70" w:type="dxa"/>
              <w:bottom w:w="60" w:type="dxa"/>
              <w:right w:w="70" w:type="dxa"/>
            </w:tcMar>
            <w:vAlign w:val="center"/>
          </w:tcPr>
          <w:p w14:paraId="09E51819" w14:textId="77777777" w:rsidR="000E1D9E" w:rsidRPr="005A3772" w:rsidRDefault="008363AF">
            <w:pPr>
              <w:rPr>
                <w:rFonts w:asciiTheme="majorHAnsi" w:hAnsiTheme="majorHAnsi" w:cstheme="majorHAnsi"/>
                <w:sz w:val="22"/>
              </w:rPr>
            </w:pPr>
            <w:r w:rsidRPr="005A3772">
              <w:rPr>
                <w:rFonts w:asciiTheme="majorHAnsi" w:hAnsiTheme="majorHAnsi" w:cstheme="majorHAnsi"/>
                <w:b/>
                <w:sz w:val="22"/>
              </w:rPr>
              <w:t>Present:</w:t>
            </w:r>
          </w:p>
        </w:tc>
      </w:tr>
      <w:tr w:rsidR="000E1D9E" w:rsidRPr="005A3772" w14:paraId="01B706CB" w14:textId="77777777" w:rsidTr="00AD174A">
        <w:tc>
          <w:tcPr>
            <w:tcW w:w="1770" w:type="dxa"/>
            <w:tcMar>
              <w:top w:w="70" w:type="dxa"/>
              <w:left w:w="70" w:type="dxa"/>
              <w:bottom w:w="70" w:type="dxa"/>
              <w:right w:w="70" w:type="dxa"/>
            </w:tcMar>
            <w:vAlign w:val="center"/>
          </w:tcPr>
          <w:p w14:paraId="316B9871"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07C3E864"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Chair</w:t>
            </w:r>
          </w:p>
        </w:tc>
      </w:tr>
      <w:tr w:rsidR="000E1D9E" w:rsidRPr="005A3772" w14:paraId="4AC1C22E" w14:textId="77777777" w:rsidTr="00AD174A">
        <w:tc>
          <w:tcPr>
            <w:tcW w:w="1770" w:type="dxa"/>
            <w:tcMar>
              <w:top w:w="70" w:type="dxa"/>
              <w:left w:w="70" w:type="dxa"/>
              <w:bottom w:w="70" w:type="dxa"/>
              <w:right w:w="70" w:type="dxa"/>
            </w:tcMar>
            <w:vAlign w:val="center"/>
          </w:tcPr>
          <w:p w14:paraId="658C51A4"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5324EDC0"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Managing Director</w:t>
            </w:r>
          </w:p>
        </w:tc>
      </w:tr>
      <w:tr w:rsidR="000E1D9E" w:rsidRPr="005A3772" w14:paraId="02C8E882" w14:textId="77777777" w:rsidTr="00AD174A">
        <w:tc>
          <w:tcPr>
            <w:tcW w:w="1770" w:type="dxa"/>
            <w:tcMar>
              <w:top w:w="70" w:type="dxa"/>
              <w:left w:w="70" w:type="dxa"/>
              <w:bottom w:w="70" w:type="dxa"/>
              <w:right w:w="70" w:type="dxa"/>
            </w:tcMar>
            <w:vAlign w:val="center"/>
          </w:tcPr>
          <w:p w14:paraId="064339FA"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5C13E870"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Non-Executive Director</w:t>
            </w:r>
          </w:p>
        </w:tc>
      </w:tr>
      <w:tr w:rsidR="000E1D9E" w:rsidRPr="005A3772" w14:paraId="238BE9D8" w14:textId="77777777" w:rsidTr="00AD174A">
        <w:tc>
          <w:tcPr>
            <w:tcW w:w="1770" w:type="dxa"/>
            <w:tcMar>
              <w:top w:w="70" w:type="dxa"/>
              <w:left w:w="70" w:type="dxa"/>
              <w:bottom w:w="70" w:type="dxa"/>
              <w:right w:w="70" w:type="dxa"/>
            </w:tcMar>
            <w:vAlign w:val="center"/>
          </w:tcPr>
          <w:p w14:paraId="708C7234"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570630D3"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Director of Finance</w:t>
            </w:r>
          </w:p>
        </w:tc>
      </w:tr>
      <w:tr w:rsidR="00AD174A" w:rsidRPr="005A3772" w14:paraId="18C2D9B7" w14:textId="77777777" w:rsidTr="006E3725">
        <w:tc>
          <w:tcPr>
            <w:tcW w:w="9736" w:type="dxa"/>
            <w:gridSpan w:val="2"/>
            <w:shd w:val="clear" w:color="auto" w:fill="B4C6E7"/>
            <w:tcMar>
              <w:top w:w="70" w:type="dxa"/>
              <w:left w:w="70" w:type="dxa"/>
              <w:bottom w:w="70" w:type="dxa"/>
              <w:right w:w="70" w:type="dxa"/>
            </w:tcMar>
            <w:vAlign w:val="center"/>
          </w:tcPr>
          <w:p w14:paraId="36488FD6" w14:textId="22B62E8F" w:rsidR="00AD174A" w:rsidRPr="005A3772" w:rsidRDefault="00AD174A">
            <w:pPr>
              <w:rPr>
                <w:rFonts w:asciiTheme="majorHAnsi" w:hAnsiTheme="majorHAnsi" w:cstheme="majorHAnsi"/>
                <w:sz w:val="22"/>
              </w:rPr>
            </w:pPr>
            <w:r w:rsidRPr="005A3772">
              <w:rPr>
                <w:rFonts w:asciiTheme="majorHAnsi" w:hAnsiTheme="majorHAnsi" w:cstheme="majorHAnsi"/>
                <w:b/>
                <w:sz w:val="22"/>
              </w:rPr>
              <w:t>In Attendance</w:t>
            </w:r>
            <w:r>
              <w:rPr>
                <w:rFonts w:asciiTheme="majorHAnsi" w:hAnsiTheme="majorHAnsi" w:cstheme="majorHAnsi"/>
                <w:b/>
                <w:sz w:val="22"/>
              </w:rPr>
              <w:t>:</w:t>
            </w:r>
          </w:p>
        </w:tc>
      </w:tr>
      <w:tr w:rsidR="000E1D9E" w:rsidRPr="005A3772" w14:paraId="2A4E9F55" w14:textId="77777777" w:rsidTr="00AD174A">
        <w:tc>
          <w:tcPr>
            <w:tcW w:w="1770" w:type="dxa"/>
            <w:tcMar>
              <w:top w:w="70" w:type="dxa"/>
              <w:left w:w="70" w:type="dxa"/>
              <w:bottom w:w="70" w:type="dxa"/>
              <w:right w:w="70" w:type="dxa"/>
            </w:tcMar>
            <w:vAlign w:val="center"/>
          </w:tcPr>
          <w:p w14:paraId="0626F436"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1F736DF9"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Director of Facilities</w:t>
            </w:r>
          </w:p>
        </w:tc>
      </w:tr>
      <w:tr w:rsidR="000E1D9E" w:rsidRPr="005A3772" w14:paraId="0AD80AC3" w14:textId="77777777" w:rsidTr="00AD174A">
        <w:tc>
          <w:tcPr>
            <w:tcW w:w="1770" w:type="dxa"/>
            <w:tcMar>
              <w:top w:w="70" w:type="dxa"/>
              <w:left w:w="70" w:type="dxa"/>
              <w:bottom w:w="70" w:type="dxa"/>
              <w:right w:w="70" w:type="dxa"/>
            </w:tcMar>
            <w:vAlign w:val="center"/>
          </w:tcPr>
          <w:p w14:paraId="25434A5C"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21887408"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Director of Estates</w:t>
            </w:r>
          </w:p>
        </w:tc>
      </w:tr>
      <w:tr w:rsidR="000E1D9E" w:rsidRPr="005A3772" w14:paraId="0BC59088" w14:textId="77777777" w:rsidTr="00AD174A">
        <w:tc>
          <w:tcPr>
            <w:tcW w:w="1770" w:type="dxa"/>
            <w:tcMar>
              <w:top w:w="70" w:type="dxa"/>
              <w:left w:w="70" w:type="dxa"/>
              <w:bottom w:w="70" w:type="dxa"/>
              <w:right w:w="70" w:type="dxa"/>
            </w:tcMar>
            <w:vAlign w:val="center"/>
          </w:tcPr>
          <w:p w14:paraId="1D2182A1"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299D1F46"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Associate Director of Business and Contract Management</w:t>
            </w:r>
          </w:p>
        </w:tc>
      </w:tr>
      <w:tr w:rsidR="000E1D9E" w:rsidRPr="005A3772" w14:paraId="27AD6C97" w14:textId="77777777" w:rsidTr="00AD174A">
        <w:tc>
          <w:tcPr>
            <w:tcW w:w="1770" w:type="dxa"/>
            <w:tcMar>
              <w:top w:w="70" w:type="dxa"/>
              <w:left w:w="70" w:type="dxa"/>
              <w:bottom w:w="70" w:type="dxa"/>
              <w:right w:w="70" w:type="dxa"/>
            </w:tcMar>
            <w:vAlign w:val="center"/>
          </w:tcPr>
          <w:p w14:paraId="35466B8D"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6998D843"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Associate Director of Procurement</w:t>
            </w:r>
          </w:p>
        </w:tc>
      </w:tr>
      <w:tr w:rsidR="000E1D9E" w:rsidRPr="005A3772" w14:paraId="00C694E9" w14:textId="77777777" w:rsidTr="00AD174A">
        <w:tc>
          <w:tcPr>
            <w:tcW w:w="1770" w:type="dxa"/>
            <w:tcMar>
              <w:top w:w="70" w:type="dxa"/>
              <w:left w:w="70" w:type="dxa"/>
              <w:bottom w:w="70" w:type="dxa"/>
              <w:right w:w="70" w:type="dxa"/>
            </w:tcMar>
            <w:vAlign w:val="center"/>
          </w:tcPr>
          <w:p w14:paraId="432BA60F"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[REDACTED]</w:t>
            </w:r>
          </w:p>
        </w:tc>
        <w:tc>
          <w:tcPr>
            <w:tcW w:w="7966" w:type="dxa"/>
            <w:tcMar>
              <w:top w:w="70" w:type="dxa"/>
              <w:left w:w="70" w:type="dxa"/>
              <w:bottom w:w="70" w:type="dxa"/>
              <w:right w:w="70" w:type="dxa"/>
            </w:tcMar>
            <w:vAlign w:val="center"/>
          </w:tcPr>
          <w:p w14:paraId="7C8E790B" w14:textId="77777777" w:rsidR="000E1D9E" w:rsidRPr="005A3772" w:rsidRDefault="008363AF">
            <w:pPr>
              <w:rPr>
                <w:rFonts w:asciiTheme="majorHAnsi" w:hAnsiTheme="majorHAnsi" w:cstheme="majorHAnsi"/>
                <w:sz w:val="22"/>
              </w:rPr>
            </w:pPr>
            <w:r w:rsidRPr="005A3772">
              <w:rPr>
                <w:rFonts w:asciiTheme="majorHAnsi" w:hAnsiTheme="majorHAnsi" w:cstheme="majorHAnsi"/>
                <w:sz w:val="22"/>
              </w:rPr>
              <w:t>Minute taker</w:t>
            </w:r>
          </w:p>
        </w:tc>
      </w:tr>
    </w:tbl>
    <w:p w14:paraId="5D4B5023" w14:textId="77777777" w:rsidR="000E1D9E" w:rsidRPr="005A3772" w:rsidRDefault="008363AF">
      <w:pPr>
        <w:spacing w:before="120" w:after="120"/>
        <w:rPr>
          <w:rFonts w:asciiTheme="majorHAnsi" w:hAnsiTheme="majorHAnsi" w:cstheme="majorHAnsi"/>
          <w:sz w:val="22"/>
        </w:rPr>
      </w:pPr>
      <w:r w:rsidRPr="005A3772">
        <w:rPr>
          <w:rFonts w:asciiTheme="majorHAnsi" w:hAnsiTheme="majorHAnsi" w:cstheme="majorHAnsi"/>
          <w:sz w:val="22"/>
        </w:rPr>
        <w:t xml:space="preserve"> </w:t>
      </w:r>
    </w:p>
    <w:tbl>
      <w:tblPr>
        <w:tblStyle w:val="TableGrid"/>
        <w:tblW w:w="0" w:type="auto"/>
        <w:tblLook w:val="04A0" w:firstRow="1" w:lastRow="0" w:firstColumn="1" w:lastColumn="0" w:noHBand="0" w:noVBand="1"/>
      </w:tblPr>
      <w:tblGrid>
        <w:gridCol w:w="988"/>
        <w:gridCol w:w="7460"/>
        <w:gridCol w:w="1288"/>
      </w:tblGrid>
      <w:tr w:rsidR="000E1D9E" w:rsidRPr="005A3772" w14:paraId="0C0543B9" w14:textId="77777777">
        <w:trPr>
          <w:tblHeader/>
        </w:trPr>
        <w:tc>
          <w:tcPr>
            <w:tcW w:w="1008" w:type="dxa"/>
            <w:shd w:val="clear" w:color="auto" w:fill="B4C6E7"/>
            <w:tcMar>
              <w:top w:w="60" w:type="dxa"/>
              <w:left w:w="70" w:type="dxa"/>
              <w:bottom w:w="60" w:type="dxa"/>
              <w:right w:w="70" w:type="dxa"/>
            </w:tcMar>
          </w:tcPr>
          <w:p w14:paraId="2D4E2FF9"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Agenda</w:t>
            </w:r>
            <w:r w:rsidRPr="005A3772">
              <w:rPr>
                <w:rFonts w:asciiTheme="majorHAnsi" w:hAnsiTheme="majorHAnsi" w:cstheme="majorHAnsi"/>
                <w:b/>
                <w:sz w:val="22"/>
              </w:rPr>
              <w:br/>
              <w:t>Item</w:t>
            </w:r>
          </w:p>
        </w:tc>
        <w:tc>
          <w:tcPr>
            <w:tcW w:w="8208" w:type="dxa"/>
            <w:shd w:val="clear" w:color="auto" w:fill="B4C6E7"/>
            <w:tcMar>
              <w:top w:w="60" w:type="dxa"/>
              <w:left w:w="70" w:type="dxa"/>
              <w:bottom w:w="60" w:type="dxa"/>
              <w:right w:w="70" w:type="dxa"/>
            </w:tcMar>
          </w:tcPr>
          <w:p w14:paraId="2B933FEC"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Discussion and Action Points</w:t>
            </w:r>
          </w:p>
        </w:tc>
        <w:tc>
          <w:tcPr>
            <w:tcW w:w="1296" w:type="dxa"/>
            <w:shd w:val="clear" w:color="auto" w:fill="B4C6E7"/>
            <w:tcMar>
              <w:top w:w="60" w:type="dxa"/>
              <w:left w:w="70" w:type="dxa"/>
              <w:bottom w:w="60" w:type="dxa"/>
              <w:right w:w="70" w:type="dxa"/>
            </w:tcMar>
          </w:tcPr>
          <w:p w14:paraId="4B07F9C1"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Action</w:t>
            </w:r>
            <w:r w:rsidRPr="005A3772">
              <w:rPr>
                <w:rFonts w:asciiTheme="majorHAnsi" w:hAnsiTheme="majorHAnsi" w:cstheme="majorHAnsi"/>
                <w:b/>
                <w:sz w:val="22"/>
              </w:rPr>
              <w:br/>
              <w:t>By</w:t>
            </w:r>
          </w:p>
        </w:tc>
      </w:tr>
      <w:tr w:rsidR="000E1D9E" w:rsidRPr="005A3772" w14:paraId="4B540A13" w14:textId="77777777">
        <w:tc>
          <w:tcPr>
            <w:tcW w:w="1008" w:type="dxa"/>
            <w:shd w:val="clear" w:color="auto" w:fill="B4C6E7"/>
            <w:tcMar>
              <w:top w:w="55" w:type="dxa"/>
              <w:left w:w="65" w:type="dxa"/>
              <w:bottom w:w="55" w:type="dxa"/>
              <w:right w:w="65" w:type="dxa"/>
            </w:tcMar>
            <w:vAlign w:val="center"/>
          </w:tcPr>
          <w:p w14:paraId="4103C52E"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1</w:t>
            </w:r>
          </w:p>
        </w:tc>
        <w:tc>
          <w:tcPr>
            <w:tcW w:w="8208" w:type="dxa"/>
            <w:shd w:val="clear" w:color="auto" w:fill="B4C6E7"/>
            <w:tcMar>
              <w:top w:w="55" w:type="dxa"/>
              <w:left w:w="65" w:type="dxa"/>
              <w:bottom w:w="55" w:type="dxa"/>
              <w:right w:w="65" w:type="dxa"/>
            </w:tcMar>
            <w:vAlign w:val="center"/>
          </w:tcPr>
          <w:p w14:paraId="48B05FA9"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Introductory Matters</w:t>
            </w:r>
          </w:p>
        </w:tc>
        <w:tc>
          <w:tcPr>
            <w:tcW w:w="1296" w:type="dxa"/>
            <w:shd w:val="clear" w:color="auto" w:fill="B4C6E7"/>
            <w:tcMar>
              <w:top w:w="55" w:type="dxa"/>
              <w:left w:w="65" w:type="dxa"/>
              <w:bottom w:w="55" w:type="dxa"/>
              <w:right w:w="65" w:type="dxa"/>
            </w:tcMar>
            <w:vAlign w:val="center"/>
          </w:tcPr>
          <w:p w14:paraId="3152AA17" w14:textId="77777777" w:rsidR="000E1D9E" w:rsidRPr="005A3772" w:rsidRDefault="000E1D9E" w:rsidP="005A3772">
            <w:pPr>
              <w:rPr>
                <w:rFonts w:asciiTheme="majorHAnsi" w:hAnsiTheme="majorHAnsi" w:cstheme="majorHAnsi"/>
                <w:sz w:val="22"/>
              </w:rPr>
            </w:pPr>
          </w:p>
        </w:tc>
      </w:tr>
      <w:tr w:rsidR="000E1D9E" w:rsidRPr="005A3772" w14:paraId="1FAE630B" w14:textId="77777777">
        <w:tc>
          <w:tcPr>
            <w:tcW w:w="1008" w:type="dxa"/>
            <w:tcMar>
              <w:top w:w="55" w:type="dxa"/>
              <w:left w:w="65" w:type="dxa"/>
              <w:bottom w:w="55" w:type="dxa"/>
              <w:right w:w="65" w:type="dxa"/>
            </w:tcMar>
            <w:vAlign w:val="center"/>
          </w:tcPr>
          <w:p w14:paraId="72134CF2"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1.1a</w:t>
            </w:r>
          </w:p>
        </w:tc>
        <w:tc>
          <w:tcPr>
            <w:tcW w:w="8208" w:type="dxa"/>
            <w:tcMar>
              <w:top w:w="55" w:type="dxa"/>
              <w:left w:w="65" w:type="dxa"/>
              <w:bottom w:w="55" w:type="dxa"/>
              <w:right w:w="65" w:type="dxa"/>
            </w:tcMar>
          </w:tcPr>
          <w:p w14:paraId="697BDC25"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Chief Executive Introduction and Strategic Alignment</w:t>
            </w:r>
          </w:p>
          <w:p w14:paraId="6078F2B3" w14:textId="77777777" w:rsidR="005A3772" w:rsidRPr="005A3772" w:rsidRDefault="005A3772" w:rsidP="005A3772">
            <w:pPr>
              <w:jc w:val="both"/>
              <w:rPr>
                <w:rFonts w:asciiTheme="majorHAnsi" w:hAnsiTheme="majorHAnsi" w:cstheme="majorHAnsi"/>
                <w:sz w:val="22"/>
              </w:rPr>
            </w:pPr>
          </w:p>
          <w:p w14:paraId="4FB9579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formally welcomed the Trust Chief Executive and received an overview of strategic priorities for strengthening collaboration between SCL and the Trust, including culture, shared purpose, clarity of roles and responsibilities and maintaining SCL’s position as a separate entity and trusted partner.</w:t>
            </w:r>
          </w:p>
          <w:p w14:paraId="623EEAA3" w14:textId="77777777" w:rsidR="005A3772" w:rsidRPr="005A3772" w:rsidRDefault="005A3772" w:rsidP="005A3772">
            <w:pPr>
              <w:jc w:val="both"/>
              <w:rPr>
                <w:rFonts w:asciiTheme="majorHAnsi" w:hAnsiTheme="majorHAnsi" w:cstheme="majorHAnsi"/>
                <w:sz w:val="22"/>
              </w:rPr>
            </w:pPr>
          </w:p>
          <w:p w14:paraId="14617DF8"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supported the proposed direction and the continued focus on transparency, clinical input, estate value and patient care.</w:t>
            </w:r>
          </w:p>
        </w:tc>
        <w:tc>
          <w:tcPr>
            <w:tcW w:w="1296" w:type="dxa"/>
            <w:tcMar>
              <w:top w:w="55" w:type="dxa"/>
              <w:left w:w="65" w:type="dxa"/>
              <w:bottom w:w="55" w:type="dxa"/>
              <w:right w:w="65" w:type="dxa"/>
            </w:tcMar>
            <w:vAlign w:val="center"/>
          </w:tcPr>
          <w:p w14:paraId="7B2A4538" w14:textId="77777777" w:rsidR="000E1D9E" w:rsidRPr="005A3772" w:rsidRDefault="000E1D9E" w:rsidP="005A3772">
            <w:pPr>
              <w:rPr>
                <w:rFonts w:asciiTheme="majorHAnsi" w:hAnsiTheme="majorHAnsi" w:cstheme="majorHAnsi"/>
                <w:sz w:val="22"/>
              </w:rPr>
            </w:pPr>
          </w:p>
        </w:tc>
      </w:tr>
      <w:tr w:rsidR="000E1D9E" w:rsidRPr="005A3772" w14:paraId="68D694E8" w14:textId="77777777">
        <w:tc>
          <w:tcPr>
            <w:tcW w:w="1008" w:type="dxa"/>
            <w:tcMar>
              <w:top w:w="55" w:type="dxa"/>
              <w:left w:w="65" w:type="dxa"/>
              <w:bottom w:w="55" w:type="dxa"/>
              <w:right w:w="65" w:type="dxa"/>
            </w:tcMar>
            <w:vAlign w:val="center"/>
          </w:tcPr>
          <w:p w14:paraId="001A4D7B"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1.1</w:t>
            </w:r>
          </w:p>
        </w:tc>
        <w:tc>
          <w:tcPr>
            <w:tcW w:w="8208" w:type="dxa"/>
            <w:tcMar>
              <w:top w:w="55" w:type="dxa"/>
              <w:left w:w="65" w:type="dxa"/>
              <w:bottom w:w="55" w:type="dxa"/>
              <w:right w:w="65" w:type="dxa"/>
            </w:tcMar>
          </w:tcPr>
          <w:p w14:paraId="0C1B08CE"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Apologies for absence</w:t>
            </w:r>
          </w:p>
          <w:p w14:paraId="2C4B6FC2" w14:textId="77777777" w:rsidR="005A3772" w:rsidRPr="005A3772" w:rsidRDefault="005A3772" w:rsidP="005A3772">
            <w:pPr>
              <w:jc w:val="both"/>
              <w:rPr>
                <w:rFonts w:asciiTheme="majorHAnsi" w:hAnsiTheme="majorHAnsi" w:cstheme="majorHAnsi"/>
                <w:sz w:val="22"/>
              </w:rPr>
            </w:pPr>
          </w:p>
          <w:p w14:paraId="042D8542"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No apologies for absence were received.</w:t>
            </w:r>
          </w:p>
        </w:tc>
        <w:tc>
          <w:tcPr>
            <w:tcW w:w="1296" w:type="dxa"/>
            <w:tcMar>
              <w:top w:w="55" w:type="dxa"/>
              <w:left w:w="65" w:type="dxa"/>
              <w:bottom w:w="55" w:type="dxa"/>
              <w:right w:w="65" w:type="dxa"/>
            </w:tcMar>
            <w:vAlign w:val="center"/>
          </w:tcPr>
          <w:p w14:paraId="615DDC3A" w14:textId="77777777" w:rsidR="000E1D9E" w:rsidRPr="005A3772" w:rsidRDefault="000E1D9E" w:rsidP="005A3772">
            <w:pPr>
              <w:rPr>
                <w:rFonts w:asciiTheme="majorHAnsi" w:hAnsiTheme="majorHAnsi" w:cstheme="majorHAnsi"/>
                <w:sz w:val="22"/>
              </w:rPr>
            </w:pPr>
          </w:p>
        </w:tc>
      </w:tr>
      <w:tr w:rsidR="000E1D9E" w:rsidRPr="005A3772" w14:paraId="040FC348" w14:textId="77777777">
        <w:tc>
          <w:tcPr>
            <w:tcW w:w="1008" w:type="dxa"/>
            <w:tcMar>
              <w:top w:w="55" w:type="dxa"/>
              <w:left w:w="65" w:type="dxa"/>
              <w:bottom w:w="55" w:type="dxa"/>
              <w:right w:w="65" w:type="dxa"/>
            </w:tcMar>
            <w:vAlign w:val="center"/>
          </w:tcPr>
          <w:p w14:paraId="0B1B7A8D"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1.2</w:t>
            </w:r>
          </w:p>
        </w:tc>
        <w:tc>
          <w:tcPr>
            <w:tcW w:w="8208" w:type="dxa"/>
            <w:tcMar>
              <w:top w:w="55" w:type="dxa"/>
              <w:left w:w="65" w:type="dxa"/>
              <w:bottom w:w="55" w:type="dxa"/>
              <w:right w:w="65" w:type="dxa"/>
            </w:tcMar>
          </w:tcPr>
          <w:p w14:paraId="383926C6"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Declarations of Interest and Quorum</w:t>
            </w:r>
          </w:p>
          <w:p w14:paraId="7B7798DF" w14:textId="77777777" w:rsidR="005A3772" w:rsidRPr="005A3772" w:rsidRDefault="005A3772" w:rsidP="005A3772">
            <w:pPr>
              <w:jc w:val="both"/>
              <w:rPr>
                <w:rFonts w:asciiTheme="majorHAnsi" w:hAnsiTheme="majorHAnsi" w:cstheme="majorHAnsi"/>
                <w:sz w:val="22"/>
              </w:rPr>
            </w:pPr>
          </w:p>
          <w:p w14:paraId="0391529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Each Director confirmed that they were not aware of any conflicts of interest requiring disclosure other than those recorded on the Register of Directors’ Interests. A quorum was present for the duration of the meeting.</w:t>
            </w:r>
          </w:p>
          <w:p w14:paraId="00D5DF0B" w14:textId="77777777" w:rsidR="005A3772" w:rsidRPr="005A3772" w:rsidRDefault="005A3772" w:rsidP="005A3772">
            <w:pPr>
              <w:jc w:val="both"/>
              <w:rPr>
                <w:rFonts w:asciiTheme="majorHAnsi" w:hAnsiTheme="majorHAnsi" w:cstheme="majorHAnsi"/>
                <w:sz w:val="22"/>
              </w:rPr>
            </w:pPr>
          </w:p>
          <w:p w14:paraId="7919804E"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lastRenderedPageBreak/>
              <w:t xml:space="preserve">Action: </w:t>
            </w:r>
            <w:r w:rsidRPr="005A3772">
              <w:rPr>
                <w:rFonts w:asciiTheme="majorHAnsi" w:hAnsiTheme="majorHAnsi" w:cstheme="majorHAnsi"/>
                <w:sz w:val="22"/>
              </w:rPr>
              <w:t>Ensure annual declarations of interest are up to date and signed by Board members.</w:t>
            </w:r>
          </w:p>
        </w:tc>
        <w:tc>
          <w:tcPr>
            <w:tcW w:w="1296" w:type="dxa"/>
            <w:tcMar>
              <w:top w:w="55" w:type="dxa"/>
              <w:left w:w="65" w:type="dxa"/>
              <w:bottom w:w="55" w:type="dxa"/>
              <w:right w:w="65" w:type="dxa"/>
            </w:tcMar>
            <w:vAlign w:val="center"/>
          </w:tcPr>
          <w:p w14:paraId="625C254C"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lastRenderedPageBreak/>
              <w:t>[REDACTED]</w:t>
            </w:r>
          </w:p>
        </w:tc>
      </w:tr>
      <w:tr w:rsidR="000E1D9E" w:rsidRPr="005A3772" w14:paraId="3F1F19AB" w14:textId="77777777">
        <w:tc>
          <w:tcPr>
            <w:tcW w:w="1008" w:type="dxa"/>
            <w:tcMar>
              <w:top w:w="55" w:type="dxa"/>
              <w:left w:w="65" w:type="dxa"/>
              <w:bottom w:w="55" w:type="dxa"/>
              <w:right w:w="65" w:type="dxa"/>
            </w:tcMar>
            <w:vAlign w:val="center"/>
          </w:tcPr>
          <w:p w14:paraId="6BC35F7F"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1.3</w:t>
            </w:r>
          </w:p>
        </w:tc>
        <w:tc>
          <w:tcPr>
            <w:tcW w:w="8208" w:type="dxa"/>
            <w:tcMar>
              <w:top w:w="55" w:type="dxa"/>
              <w:left w:w="65" w:type="dxa"/>
              <w:bottom w:w="55" w:type="dxa"/>
              <w:right w:w="65" w:type="dxa"/>
            </w:tcMar>
          </w:tcPr>
          <w:p w14:paraId="413369C5"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Approve minutes of the meeting held on 26 August 2025 and approve/update the action list and record of decisions</w:t>
            </w:r>
          </w:p>
          <w:p w14:paraId="4B8943AC" w14:textId="77777777" w:rsidR="005A3772" w:rsidRPr="005A3772" w:rsidRDefault="005A3772" w:rsidP="005A3772">
            <w:pPr>
              <w:jc w:val="both"/>
              <w:rPr>
                <w:rFonts w:asciiTheme="majorHAnsi" w:hAnsiTheme="majorHAnsi" w:cstheme="majorHAnsi"/>
                <w:sz w:val="22"/>
              </w:rPr>
            </w:pPr>
          </w:p>
          <w:p w14:paraId="6C6D944A"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minutes of the previous meeting were accepted as a true and fair representation of the meeting. The Board reviewed the action log and Record of Decisions and noted progress against outstanding matters.</w:t>
            </w:r>
          </w:p>
          <w:p w14:paraId="543DF26C" w14:textId="77777777" w:rsidR="005A3772" w:rsidRPr="005A3772" w:rsidRDefault="005A3772" w:rsidP="005A3772">
            <w:pPr>
              <w:jc w:val="both"/>
              <w:rPr>
                <w:rFonts w:asciiTheme="majorHAnsi" w:hAnsiTheme="majorHAnsi" w:cstheme="majorHAnsi"/>
                <w:sz w:val="22"/>
              </w:rPr>
            </w:pPr>
          </w:p>
          <w:p w14:paraId="42DEC009"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agreed that future Finance Reports would include a brief cash-flow section, with routine positions assured through the balance sheet and material risks highlighted.</w:t>
            </w:r>
          </w:p>
          <w:p w14:paraId="31D7763B" w14:textId="77777777" w:rsidR="005A3772" w:rsidRPr="005A3772" w:rsidRDefault="005A3772" w:rsidP="005A3772">
            <w:pPr>
              <w:jc w:val="both"/>
              <w:rPr>
                <w:rFonts w:asciiTheme="majorHAnsi" w:hAnsiTheme="majorHAnsi" w:cstheme="majorHAnsi"/>
                <w:sz w:val="22"/>
              </w:rPr>
            </w:pPr>
          </w:p>
          <w:p w14:paraId="7679FB7F"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Outstanding contractual and financial matters were reviewed and would continue to be progressed through the appropriate governance routes.</w:t>
            </w:r>
          </w:p>
          <w:p w14:paraId="67B38BAB" w14:textId="77777777" w:rsidR="005A3772" w:rsidRPr="005A3772" w:rsidRDefault="005A3772" w:rsidP="005A3772">
            <w:pPr>
              <w:jc w:val="both"/>
              <w:rPr>
                <w:rFonts w:asciiTheme="majorHAnsi" w:hAnsiTheme="majorHAnsi" w:cstheme="majorHAnsi"/>
                <w:sz w:val="22"/>
              </w:rPr>
            </w:pPr>
          </w:p>
          <w:p w14:paraId="40B23C5C"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Update the action log and include a brief cash-flow section in future Finance Reports.</w:t>
            </w:r>
          </w:p>
          <w:p w14:paraId="621C88F6" w14:textId="77777777" w:rsidR="005A3772" w:rsidRPr="005A3772" w:rsidRDefault="005A3772" w:rsidP="005A3772">
            <w:pPr>
              <w:jc w:val="both"/>
              <w:rPr>
                <w:rFonts w:asciiTheme="majorHAnsi" w:hAnsiTheme="majorHAnsi" w:cstheme="majorHAnsi"/>
                <w:sz w:val="22"/>
              </w:rPr>
            </w:pPr>
          </w:p>
          <w:p w14:paraId="10C26DC4"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contract variations, cash-flow exposures, commercial negotiations and named individuals.]</w:t>
            </w:r>
          </w:p>
        </w:tc>
        <w:tc>
          <w:tcPr>
            <w:tcW w:w="1296" w:type="dxa"/>
            <w:tcMar>
              <w:top w:w="55" w:type="dxa"/>
              <w:left w:w="65" w:type="dxa"/>
              <w:bottom w:w="55" w:type="dxa"/>
              <w:right w:w="65" w:type="dxa"/>
            </w:tcMar>
            <w:vAlign w:val="center"/>
          </w:tcPr>
          <w:p w14:paraId="0DF9B19A"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[REDACTED]</w:t>
            </w:r>
          </w:p>
        </w:tc>
      </w:tr>
      <w:tr w:rsidR="000E1D9E" w:rsidRPr="005A3772" w14:paraId="5D6652B3" w14:textId="77777777">
        <w:tc>
          <w:tcPr>
            <w:tcW w:w="1008" w:type="dxa"/>
            <w:shd w:val="clear" w:color="auto" w:fill="B4C6E7"/>
            <w:tcMar>
              <w:top w:w="55" w:type="dxa"/>
              <w:left w:w="65" w:type="dxa"/>
              <w:bottom w:w="55" w:type="dxa"/>
              <w:right w:w="65" w:type="dxa"/>
            </w:tcMar>
            <w:vAlign w:val="center"/>
          </w:tcPr>
          <w:p w14:paraId="27287BDB"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2</w:t>
            </w:r>
          </w:p>
        </w:tc>
        <w:tc>
          <w:tcPr>
            <w:tcW w:w="8208" w:type="dxa"/>
            <w:shd w:val="clear" w:color="auto" w:fill="B4C6E7"/>
            <w:tcMar>
              <w:top w:w="55" w:type="dxa"/>
              <w:left w:w="65" w:type="dxa"/>
              <w:bottom w:w="55" w:type="dxa"/>
              <w:right w:w="65" w:type="dxa"/>
            </w:tcMar>
            <w:vAlign w:val="center"/>
          </w:tcPr>
          <w:p w14:paraId="57244604"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Standing Items</w:t>
            </w:r>
          </w:p>
        </w:tc>
        <w:tc>
          <w:tcPr>
            <w:tcW w:w="1296" w:type="dxa"/>
            <w:shd w:val="clear" w:color="auto" w:fill="B4C6E7"/>
            <w:tcMar>
              <w:top w:w="55" w:type="dxa"/>
              <w:left w:w="65" w:type="dxa"/>
              <w:bottom w:w="55" w:type="dxa"/>
              <w:right w:w="65" w:type="dxa"/>
            </w:tcMar>
            <w:vAlign w:val="center"/>
          </w:tcPr>
          <w:p w14:paraId="259EEFE8" w14:textId="77777777" w:rsidR="000E1D9E" w:rsidRPr="005A3772" w:rsidRDefault="000E1D9E" w:rsidP="005A3772">
            <w:pPr>
              <w:rPr>
                <w:rFonts w:asciiTheme="majorHAnsi" w:hAnsiTheme="majorHAnsi" w:cstheme="majorHAnsi"/>
                <w:sz w:val="22"/>
              </w:rPr>
            </w:pPr>
          </w:p>
        </w:tc>
      </w:tr>
      <w:tr w:rsidR="000E1D9E" w:rsidRPr="005A3772" w14:paraId="7E760DF1" w14:textId="77777777">
        <w:tc>
          <w:tcPr>
            <w:tcW w:w="1008" w:type="dxa"/>
            <w:tcMar>
              <w:top w:w="55" w:type="dxa"/>
              <w:left w:w="65" w:type="dxa"/>
              <w:bottom w:w="55" w:type="dxa"/>
              <w:right w:w="65" w:type="dxa"/>
            </w:tcMar>
            <w:vAlign w:val="center"/>
          </w:tcPr>
          <w:p w14:paraId="397F7871"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2.1</w:t>
            </w:r>
          </w:p>
        </w:tc>
        <w:tc>
          <w:tcPr>
            <w:tcW w:w="8208" w:type="dxa"/>
            <w:tcMar>
              <w:top w:w="55" w:type="dxa"/>
              <w:left w:w="65" w:type="dxa"/>
              <w:bottom w:w="55" w:type="dxa"/>
              <w:right w:w="65" w:type="dxa"/>
            </w:tcMar>
          </w:tcPr>
          <w:p w14:paraId="6A3C519A"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Managing Director’s Report</w:t>
            </w:r>
          </w:p>
          <w:p w14:paraId="1F085C86" w14:textId="77777777" w:rsidR="005A3772" w:rsidRPr="005A3772" w:rsidRDefault="005A3772" w:rsidP="005A3772">
            <w:pPr>
              <w:jc w:val="both"/>
              <w:rPr>
                <w:rFonts w:asciiTheme="majorHAnsi" w:hAnsiTheme="majorHAnsi" w:cstheme="majorHAnsi"/>
                <w:sz w:val="22"/>
              </w:rPr>
            </w:pPr>
          </w:p>
          <w:p w14:paraId="271376E2"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Managing Director presented Board Paper 2.1. The Board received updates on Trust and Executive matters, contract-management assurance, workforce, organisational objectives, health, safety and security, premises assurance, digital maturity and staff engagement.</w:t>
            </w:r>
          </w:p>
          <w:p w14:paraId="0158A903" w14:textId="77777777" w:rsidR="005A3772" w:rsidRPr="005A3772" w:rsidRDefault="005A3772" w:rsidP="005A3772">
            <w:pPr>
              <w:jc w:val="both"/>
              <w:rPr>
                <w:rFonts w:asciiTheme="majorHAnsi" w:hAnsiTheme="majorHAnsi" w:cstheme="majorHAnsi"/>
                <w:sz w:val="22"/>
              </w:rPr>
            </w:pPr>
          </w:p>
          <w:p w14:paraId="30C49232"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considered progress in strengthening contract-management arrangements and noted ongoing work concerning subsidiary workforce terms and conditions. It agreed that harmonisation should be explored as part of strategic planning.</w:t>
            </w:r>
          </w:p>
          <w:p w14:paraId="7C81D043" w14:textId="77777777" w:rsidR="005A3772" w:rsidRPr="005A3772" w:rsidRDefault="005A3772" w:rsidP="005A3772">
            <w:pPr>
              <w:jc w:val="both"/>
              <w:rPr>
                <w:rFonts w:asciiTheme="majorHAnsi" w:hAnsiTheme="majorHAnsi" w:cstheme="majorHAnsi"/>
                <w:sz w:val="22"/>
              </w:rPr>
            </w:pPr>
          </w:p>
          <w:p w14:paraId="002956B1"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Workforce performance, sickness absence and training compliance were reviewed. The Board requested comparative sickness-absence information and agreed that additional narrative should accompany objectives reported as red.</w:t>
            </w:r>
          </w:p>
          <w:p w14:paraId="22D821F1" w14:textId="77777777" w:rsidR="005A3772" w:rsidRPr="005A3772" w:rsidRDefault="005A3772" w:rsidP="005A3772">
            <w:pPr>
              <w:jc w:val="both"/>
              <w:rPr>
                <w:rFonts w:asciiTheme="majorHAnsi" w:hAnsiTheme="majorHAnsi" w:cstheme="majorHAnsi"/>
                <w:sz w:val="22"/>
              </w:rPr>
            </w:pPr>
          </w:p>
          <w:p w14:paraId="4CEF8590"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also considered health and safety incidents and associated assurance </w:t>
            </w:r>
            <w:proofErr w:type="gramStart"/>
            <w:r w:rsidRPr="005A3772">
              <w:rPr>
                <w:rFonts w:asciiTheme="majorHAnsi" w:hAnsiTheme="majorHAnsi" w:cstheme="majorHAnsi"/>
                <w:sz w:val="22"/>
              </w:rPr>
              <w:t>activity</w:t>
            </w:r>
            <w:proofErr w:type="gramEnd"/>
            <w:r w:rsidRPr="005A3772">
              <w:rPr>
                <w:rFonts w:asciiTheme="majorHAnsi" w:hAnsiTheme="majorHAnsi" w:cstheme="majorHAnsi"/>
                <w:sz w:val="22"/>
              </w:rPr>
              <w:t>, including the Premises Assurance Model, and NOTED the report.</w:t>
            </w:r>
          </w:p>
          <w:p w14:paraId="49CFA6D2" w14:textId="77777777" w:rsidR="005A3772" w:rsidRPr="005A3772" w:rsidRDefault="005A3772" w:rsidP="005A3772">
            <w:pPr>
              <w:jc w:val="both"/>
              <w:rPr>
                <w:rFonts w:asciiTheme="majorHAnsi" w:hAnsiTheme="majorHAnsi" w:cstheme="majorHAnsi"/>
                <w:sz w:val="22"/>
              </w:rPr>
            </w:pPr>
          </w:p>
          <w:p w14:paraId="1BE3C72C"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APPROVED updated pay rates, as recorded in the Record of Decisions.</w:t>
            </w:r>
          </w:p>
          <w:p w14:paraId="2B8FB0E9" w14:textId="77777777" w:rsidR="005A3772" w:rsidRPr="005A3772" w:rsidRDefault="005A3772" w:rsidP="005A3772">
            <w:pPr>
              <w:jc w:val="both"/>
              <w:rPr>
                <w:rFonts w:asciiTheme="majorHAnsi" w:hAnsiTheme="majorHAnsi" w:cstheme="majorHAnsi"/>
                <w:sz w:val="22"/>
              </w:rPr>
            </w:pPr>
          </w:p>
          <w:p w14:paraId="0C5CAD64"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Add explanatory narrative to objectives reported as red.</w:t>
            </w:r>
          </w:p>
          <w:p w14:paraId="5A7496F7"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 xml:space="preserve">Obtain comparative sickness-absence data across comparable subsidiary </w:t>
            </w:r>
            <w:proofErr w:type="spellStart"/>
            <w:r w:rsidRPr="005A3772">
              <w:rPr>
                <w:rFonts w:asciiTheme="majorHAnsi" w:hAnsiTheme="majorHAnsi" w:cstheme="majorHAnsi"/>
                <w:sz w:val="22"/>
              </w:rPr>
              <w:t>organisations</w:t>
            </w:r>
            <w:proofErr w:type="spellEnd"/>
            <w:r w:rsidRPr="005A3772">
              <w:rPr>
                <w:rFonts w:asciiTheme="majorHAnsi" w:hAnsiTheme="majorHAnsi" w:cstheme="majorHAnsi"/>
                <w:sz w:val="22"/>
              </w:rPr>
              <w:t>.</w:t>
            </w:r>
          </w:p>
          <w:p w14:paraId="27F191A6" w14:textId="77777777" w:rsidR="005A3772" w:rsidRPr="005A3772" w:rsidRDefault="005A3772" w:rsidP="005A3772">
            <w:pPr>
              <w:jc w:val="both"/>
              <w:rPr>
                <w:rFonts w:asciiTheme="majorHAnsi" w:hAnsiTheme="majorHAnsi" w:cstheme="majorHAnsi"/>
                <w:sz w:val="22"/>
              </w:rPr>
            </w:pPr>
          </w:p>
          <w:p w14:paraId="45D06011"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individual personnel information, detailed incident circumstances, security-sensitive operational information and confidential contract-management detail.]</w:t>
            </w:r>
          </w:p>
        </w:tc>
        <w:tc>
          <w:tcPr>
            <w:tcW w:w="1296" w:type="dxa"/>
            <w:tcMar>
              <w:top w:w="55" w:type="dxa"/>
              <w:left w:w="65" w:type="dxa"/>
              <w:bottom w:w="55" w:type="dxa"/>
              <w:right w:w="65" w:type="dxa"/>
            </w:tcMar>
            <w:vAlign w:val="center"/>
          </w:tcPr>
          <w:p w14:paraId="660239F3"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[REDACTED]</w:t>
            </w:r>
          </w:p>
        </w:tc>
      </w:tr>
      <w:tr w:rsidR="000E1D9E" w:rsidRPr="005A3772" w14:paraId="3FFEFAD3" w14:textId="77777777">
        <w:tc>
          <w:tcPr>
            <w:tcW w:w="1008" w:type="dxa"/>
            <w:tcMar>
              <w:top w:w="55" w:type="dxa"/>
              <w:left w:w="65" w:type="dxa"/>
              <w:bottom w:w="55" w:type="dxa"/>
              <w:right w:w="65" w:type="dxa"/>
            </w:tcMar>
            <w:vAlign w:val="center"/>
          </w:tcPr>
          <w:p w14:paraId="1201E19F"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lastRenderedPageBreak/>
              <w:t>2.2</w:t>
            </w:r>
          </w:p>
        </w:tc>
        <w:tc>
          <w:tcPr>
            <w:tcW w:w="8208" w:type="dxa"/>
            <w:tcMar>
              <w:top w:w="55" w:type="dxa"/>
              <w:left w:w="65" w:type="dxa"/>
              <w:bottom w:w="55" w:type="dxa"/>
              <w:right w:w="65" w:type="dxa"/>
            </w:tcMar>
          </w:tcPr>
          <w:p w14:paraId="6D394908"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SCL Objectives Progress Update</w:t>
            </w:r>
          </w:p>
          <w:p w14:paraId="713554FD" w14:textId="77777777" w:rsidR="005A3772" w:rsidRPr="005A3772" w:rsidRDefault="005A3772" w:rsidP="005A3772">
            <w:pPr>
              <w:jc w:val="both"/>
              <w:rPr>
                <w:rFonts w:asciiTheme="majorHAnsi" w:hAnsiTheme="majorHAnsi" w:cstheme="majorHAnsi"/>
                <w:sz w:val="22"/>
              </w:rPr>
            </w:pPr>
          </w:p>
          <w:p w14:paraId="49B3A18E"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reviewed progress against SCL objectives and discussed sustainable procurement, including Scope 3 reduction planning, and the potential impact of dedicated capital posts and executive sign-off on project delivery.</w:t>
            </w:r>
          </w:p>
          <w:p w14:paraId="74F650E8" w14:textId="77777777" w:rsidR="005A3772" w:rsidRPr="005A3772" w:rsidRDefault="005A3772" w:rsidP="005A3772">
            <w:pPr>
              <w:jc w:val="both"/>
              <w:rPr>
                <w:rFonts w:asciiTheme="majorHAnsi" w:hAnsiTheme="majorHAnsi" w:cstheme="majorHAnsi"/>
                <w:sz w:val="22"/>
              </w:rPr>
            </w:pPr>
          </w:p>
          <w:p w14:paraId="0B49A2ED"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Further clarification and review were requested for the next meeting.</w:t>
            </w:r>
          </w:p>
          <w:p w14:paraId="6E7FA7F7" w14:textId="77777777" w:rsidR="005A3772" w:rsidRPr="005A3772" w:rsidRDefault="005A3772" w:rsidP="005A3772">
            <w:pPr>
              <w:jc w:val="both"/>
              <w:rPr>
                <w:rFonts w:asciiTheme="majorHAnsi" w:hAnsiTheme="majorHAnsi" w:cstheme="majorHAnsi"/>
                <w:sz w:val="22"/>
              </w:rPr>
            </w:pPr>
          </w:p>
          <w:p w14:paraId="22FC058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Provide an explanation of Scope 3 reduction planning and its application to sustainable procurement.</w:t>
            </w:r>
          </w:p>
          <w:p w14:paraId="396C3AE5"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Review the potential impact of capital posts and executive sign-off processes on project timelines.</w:t>
            </w:r>
          </w:p>
        </w:tc>
        <w:tc>
          <w:tcPr>
            <w:tcW w:w="1296" w:type="dxa"/>
            <w:tcMar>
              <w:top w:w="55" w:type="dxa"/>
              <w:left w:w="65" w:type="dxa"/>
              <w:bottom w:w="55" w:type="dxa"/>
              <w:right w:w="65" w:type="dxa"/>
            </w:tcMar>
            <w:vAlign w:val="center"/>
          </w:tcPr>
          <w:p w14:paraId="081C47E6"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[REDACTED]</w:t>
            </w:r>
          </w:p>
        </w:tc>
      </w:tr>
      <w:tr w:rsidR="000E1D9E" w:rsidRPr="005A3772" w14:paraId="21AE3AD9" w14:textId="77777777">
        <w:tc>
          <w:tcPr>
            <w:tcW w:w="1008" w:type="dxa"/>
            <w:shd w:val="clear" w:color="auto" w:fill="B4C6E7"/>
            <w:tcMar>
              <w:top w:w="55" w:type="dxa"/>
              <w:left w:w="65" w:type="dxa"/>
              <w:bottom w:w="55" w:type="dxa"/>
              <w:right w:w="65" w:type="dxa"/>
            </w:tcMar>
            <w:vAlign w:val="center"/>
          </w:tcPr>
          <w:p w14:paraId="33E95A4D"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3</w:t>
            </w:r>
          </w:p>
        </w:tc>
        <w:tc>
          <w:tcPr>
            <w:tcW w:w="8208" w:type="dxa"/>
            <w:shd w:val="clear" w:color="auto" w:fill="B4C6E7"/>
            <w:tcMar>
              <w:top w:w="55" w:type="dxa"/>
              <w:left w:w="65" w:type="dxa"/>
              <w:bottom w:w="55" w:type="dxa"/>
              <w:right w:w="65" w:type="dxa"/>
            </w:tcMar>
            <w:vAlign w:val="center"/>
          </w:tcPr>
          <w:p w14:paraId="1A3A1A29"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Operational Reports</w:t>
            </w:r>
          </w:p>
        </w:tc>
        <w:tc>
          <w:tcPr>
            <w:tcW w:w="1296" w:type="dxa"/>
            <w:shd w:val="clear" w:color="auto" w:fill="B4C6E7"/>
            <w:tcMar>
              <w:top w:w="55" w:type="dxa"/>
              <w:left w:w="65" w:type="dxa"/>
              <w:bottom w:w="55" w:type="dxa"/>
              <w:right w:w="65" w:type="dxa"/>
            </w:tcMar>
            <w:vAlign w:val="center"/>
          </w:tcPr>
          <w:p w14:paraId="420A56BC" w14:textId="77777777" w:rsidR="000E1D9E" w:rsidRPr="005A3772" w:rsidRDefault="000E1D9E" w:rsidP="005A3772">
            <w:pPr>
              <w:rPr>
                <w:rFonts w:asciiTheme="majorHAnsi" w:hAnsiTheme="majorHAnsi" w:cstheme="majorHAnsi"/>
                <w:sz w:val="22"/>
              </w:rPr>
            </w:pPr>
          </w:p>
        </w:tc>
      </w:tr>
      <w:tr w:rsidR="000E1D9E" w:rsidRPr="005A3772" w14:paraId="14B3596F" w14:textId="77777777">
        <w:tc>
          <w:tcPr>
            <w:tcW w:w="1008" w:type="dxa"/>
            <w:tcMar>
              <w:top w:w="55" w:type="dxa"/>
              <w:left w:w="65" w:type="dxa"/>
              <w:bottom w:w="55" w:type="dxa"/>
              <w:right w:w="65" w:type="dxa"/>
            </w:tcMar>
            <w:vAlign w:val="center"/>
          </w:tcPr>
          <w:p w14:paraId="3414546D"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3.1</w:t>
            </w:r>
          </w:p>
        </w:tc>
        <w:tc>
          <w:tcPr>
            <w:tcW w:w="8208" w:type="dxa"/>
            <w:tcMar>
              <w:top w:w="55" w:type="dxa"/>
              <w:left w:w="65" w:type="dxa"/>
              <w:bottom w:w="55" w:type="dxa"/>
              <w:right w:w="65" w:type="dxa"/>
            </w:tcMar>
          </w:tcPr>
          <w:p w14:paraId="0AF798EA"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Finance and Insurance Report</w:t>
            </w:r>
          </w:p>
          <w:p w14:paraId="40745239" w14:textId="77777777" w:rsidR="005A3772" w:rsidRPr="005A3772" w:rsidRDefault="005A3772" w:rsidP="005A3772">
            <w:pPr>
              <w:jc w:val="both"/>
              <w:rPr>
                <w:rFonts w:asciiTheme="majorHAnsi" w:hAnsiTheme="majorHAnsi" w:cstheme="majorHAnsi"/>
                <w:sz w:val="22"/>
              </w:rPr>
            </w:pPr>
          </w:p>
          <w:p w14:paraId="57B20F24"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Director of Finance presented the Period 7 Finance Report. The Board reviewed the developing year-end position, vacancy and non-pay pressures, contractual matters, gain-share opportunities and service-level financial performance.</w:t>
            </w:r>
          </w:p>
          <w:p w14:paraId="457B869D" w14:textId="77777777" w:rsidR="005A3772" w:rsidRPr="005A3772" w:rsidRDefault="005A3772" w:rsidP="005A3772">
            <w:pPr>
              <w:jc w:val="both"/>
              <w:rPr>
                <w:rFonts w:asciiTheme="majorHAnsi" w:hAnsiTheme="majorHAnsi" w:cstheme="majorHAnsi"/>
                <w:sz w:val="22"/>
              </w:rPr>
            </w:pPr>
          </w:p>
          <w:p w14:paraId="64FBB284"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considered the impact of funding and contract assumptions on service delivery and future planning, together with retail performance and current cost pressures. Further work on gain-share submissions and retail profitability was agreed.</w:t>
            </w:r>
          </w:p>
          <w:p w14:paraId="17531BC4" w14:textId="77777777" w:rsidR="005A3772" w:rsidRPr="005A3772" w:rsidRDefault="005A3772" w:rsidP="005A3772">
            <w:pPr>
              <w:jc w:val="both"/>
              <w:rPr>
                <w:rFonts w:asciiTheme="majorHAnsi" w:hAnsiTheme="majorHAnsi" w:cstheme="majorHAnsi"/>
                <w:sz w:val="22"/>
              </w:rPr>
            </w:pPr>
          </w:p>
          <w:p w14:paraId="26FC550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w:t>
            </w:r>
            <w:proofErr w:type="gramStart"/>
            <w:r w:rsidRPr="005A3772">
              <w:rPr>
                <w:rFonts w:asciiTheme="majorHAnsi" w:hAnsiTheme="majorHAnsi" w:cstheme="majorHAnsi"/>
                <w:sz w:val="22"/>
              </w:rPr>
              <w:t>RESOLVED to</w:t>
            </w:r>
            <w:proofErr w:type="gramEnd"/>
            <w:r w:rsidRPr="005A3772">
              <w:rPr>
                <w:rFonts w:asciiTheme="majorHAnsi" w:hAnsiTheme="majorHAnsi" w:cstheme="majorHAnsi"/>
                <w:sz w:val="22"/>
              </w:rPr>
              <w:t xml:space="preserve"> NOTE the report.</w:t>
            </w:r>
          </w:p>
          <w:p w14:paraId="09B1F1B8" w14:textId="77777777" w:rsidR="005A3772" w:rsidRPr="005A3772" w:rsidRDefault="005A3772" w:rsidP="005A3772">
            <w:pPr>
              <w:jc w:val="both"/>
              <w:rPr>
                <w:rFonts w:asciiTheme="majorHAnsi" w:hAnsiTheme="majorHAnsi" w:cstheme="majorHAnsi"/>
                <w:sz w:val="22"/>
              </w:rPr>
            </w:pPr>
          </w:p>
          <w:p w14:paraId="39560C8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Progress the agreed gain-share submissions.</w:t>
            </w:r>
          </w:p>
          <w:p w14:paraId="352ACED0"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Undertake a detailed review of retail performance, including pricing and cost pressures.</w:t>
            </w:r>
          </w:p>
          <w:p w14:paraId="40FABD58" w14:textId="77777777" w:rsidR="005A3772" w:rsidRPr="005A3772" w:rsidRDefault="005A3772" w:rsidP="005A3772">
            <w:pPr>
              <w:jc w:val="both"/>
              <w:rPr>
                <w:rFonts w:asciiTheme="majorHAnsi" w:hAnsiTheme="majorHAnsi" w:cstheme="majorHAnsi"/>
                <w:sz w:val="22"/>
              </w:rPr>
            </w:pPr>
          </w:p>
          <w:p w14:paraId="464CD781"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financial forecasts, service-line profitability, contract values, security costs, gain-share calculations and negotiating positions.]</w:t>
            </w:r>
          </w:p>
        </w:tc>
        <w:tc>
          <w:tcPr>
            <w:tcW w:w="1296" w:type="dxa"/>
            <w:tcMar>
              <w:top w:w="55" w:type="dxa"/>
              <w:left w:w="65" w:type="dxa"/>
              <w:bottom w:w="55" w:type="dxa"/>
              <w:right w:w="65" w:type="dxa"/>
            </w:tcMar>
            <w:vAlign w:val="center"/>
          </w:tcPr>
          <w:p w14:paraId="0CF456D1"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[REDACTED]</w:t>
            </w:r>
          </w:p>
        </w:tc>
      </w:tr>
      <w:tr w:rsidR="000E1D9E" w:rsidRPr="005A3772" w14:paraId="197248F8" w14:textId="77777777">
        <w:tc>
          <w:tcPr>
            <w:tcW w:w="1008" w:type="dxa"/>
            <w:tcMar>
              <w:top w:w="55" w:type="dxa"/>
              <w:left w:w="65" w:type="dxa"/>
              <w:bottom w:w="55" w:type="dxa"/>
              <w:right w:w="65" w:type="dxa"/>
            </w:tcMar>
            <w:vAlign w:val="center"/>
          </w:tcPr>
          <w:p w14:paraId="3F7AB212"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3.2</w:t>
            </w:r>
          </w:p>
        </w:tc>
        <w:tc>
          <w:tcPr>
            <w:tcW w:w="8208" w:type="dxa"/>
            <w:tcMar>
              <w:top w:w="55" w:type="dxa"/>
              <w:left w:w="65" w:type="dxa"/>
              <w:bottom w:w="55" w:type="dxa"/>
              <w:right w:w="65" w:type="dxa"/>
            </w:tcMar>
          </w:tcPr>
          <w:p w14:paraId="610E1F99"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Performance Report</w:t>
            </w:r>
          </w:p>
          <w:p w14:paraId="77475665" w14:textId="77777777" w:rsidR="005A3772" w:rsidRPr="005A3772" w:rsidRDefault="005A3772" w:rsidP="005A3772">
            <w:pPr>
              <w:jc w:val="both"/>
              <w:rPr>
                <w:rFonts w:asciiTheme="majorHAnsi" w:hAnsiTheme="majorHAnsi" w:cstheme="majorHAnsi"/>
                <w:sz w:val="22"/>
              </w:rPr>
            </w:pPr>
          </w:p>
          <w:p w14:paraId="75DF2039"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received the Performance Report covering OHF, Non-OHF and the UHND PFI contract. Performance trends, service pressures and KPI attribution were reviewed, including portering, environmental cleanliness and telecoms.</w:t>
            </w:r>
          </w:p>
          <w:p w14:paraId="18DDB204" w14:textId="77777777" w:rsidR="005A3772" w:rsidRPr="005A3772" w:rsidRDefault="005A3772" w:rsidP="005A3772">
            <w:pPr>
              <w:jc w:val="both"/>
              <w:rPr>
                <w:rFonts w:asciiTheme="majorHAnsi" w:hAnsiTheme="majorHAnsi" w:cstheme="majorHAnsi"/>
                <w:sz w:val="22"/>
              </w:rPr>
            </w:pPr>
          </w:p>
          <w:p w14:paraId="0BE41D47" w14:textId="77777777" w:rsidR="000E1D9E"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supported the introduction of a colour-coded system to distinguish </w:t>
            </w:r>
            <w:proofErr w:type="gramStart"/>
            <w:r w:rsidRPr="005A3772">
              <w:rPr>
                <w:rFonts w:asciiTheme="majorHAnsi" w:hAnsiTheme="majorHAnsi" w:cstheme="majorHAnsi"/>
                <w:sz w:val="22"/>
              </w:rPr>
              <w:t>Non-OHF KPI</w:t>
            </w:r>
            <w:proofErr w:type="gramEnd"/>
            <w:r w:rsidRPr="005A3772">
              <w:rPr>
                <w:rFonts w:asciiTheme="majorHAnsi" w:hAnsiTheme="majorHAnsi" w:cstheme="majorHAnsi"/>
                <w:sz w:val="22"/>
              </w:rPr>
              <w:t xml:space="preserve"> failures attributable to SCL from those outside its control.</w:t>
            </w:r>
          </w:p>
          <w:p w14:paraId="0EB84D13" w14:textId="77777777" w:rsidR="005A3772" w:rsidRPr="005A3772" w:rsidRDefault="005A3772" w:rsidP="005A3772">
            <w:pPr>
              <w:jc w:val="both"/>
              <w:rPr>
                <w:rFonts w:asciiTheme="majorHAnsi" w:hAnsiTheme="majorHAnsi" w:cstheme="majorHAnsi"/>
                <w:sz w:val="22"/>
              </w:rPr>
            </w:pPr>
          </w:p>
          <w:p w14:paraId="4943D5EE"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APPROVED the revised telecoms call-answer KPI of 30 seconds and NOTED the wider performance update.</w:t>
            </w:r>
          </w:p>
          <w:p w14:paraId="6A576827" w14:textId="77777777" w:rsidR="005A3772" w:rsidRPr="005A3772" w:rsidRDefault="005A3772" w:rsidP="005A3772">
            <w:pPr>
              <w:jc w:val="both"/>
              <w:rPr>
                <w:rFonts w:asciiTheme="majorHAnsi" w:hAnsiTheme="majorHAnsi" w:cstheme="majorHAnsi"/>
                <w:sz w:val="22"/>
              </w:rPr>
            </w:pPr>
          </w:p>
          <w:p w14:paraId="4A72DA96"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service failures, staffing pressures, contractual deductions, efficiency figures and operationally sensitive performance information.]</w:t>
            </w:r>
          </w:p>
        </w:tc>
        <w:tc>
          <w:tcPr>
            <w:tcW w:w="1296" w:type="dxa"/>
            <w:tcMar>
              <w:top w:w="55" w:type="dxa"/>
              <w:left w:w="65" w:type="dxa"/>
              <w:bottom w:w="55" w:type="dxa"/>
              <w:right w:w="65" w:type="dxa"/>
            </w:tcMar>
            <w:vAlign w:val="center"/>
          </w:tcPr>
          <w:p w14:paraId="33387F24" w14:textId="77777777" w:rsidR="000E1D9E" w:rsidRPr="005A3772" w:rsidRDefault="000E1D9E" w:rsidP="005A3772">
            <w:pPr>
              <w:rPr>
                <w:rFonts w:asciiTheme="majorHAnsi" w:hAnsiTheme="majorHAnsi" w:cstheme="majorHAnsi"/>
                <w:sz w:val="22"/>
              </w:rPr>
            </w:pPr>
          </w:p>
        </w:tc>
      </w:tr>
      <w:tr w:rsidR="000E1D9E" w:rsidRPr="005A3772" w14:paraId="410938F5" w14:textId="77777777">
        <w:tc>
          <w:tcPr>
            <w:tcW w:w="1008" w:type="dxa"/>
            <w:tcMar>
              <w:top w:w="55" w:type="dxa"/>
              <w:left w:w="65" w:type="dxa"/>
              <w:bottom w:w="55" w:type="dxa"/>
              <w:right w:w="65" w:type="dxa"/>
            </w:tcMar>
            <w:vAlign w:val="center"/>
          </w:tcPr>
          <w:p w14:paraId="5066111C"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3.3</w:t>
            </w:r>
          </w:p>
        </w:tc>
        <w:tc>
          <w:tcPr>
            <w:tcW w:w="8208" w:type="dxa"/>
            <w:tcMar>
              <w:top w:w="55" w:type="dxa"/>
              <w:left w:w="65" w:type="dxa"/>
              <w:bottom w:w="55" w:type="dxa"/>
              <w:right w:w="65" w:type="dxa"/>
            </w:tcMar>
          </w:tcPr>
          <w:p w14:paraId="76AB2FCB"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Business Development</w:t>
            </w:r>
          </w:p>
          <w:p w14:paraId="5BBF8A6F" w14:textId="77777777" w:rsidR="005A3772" w:rsidRPr="005A3772" w:rsidRDefault="005A3772" w:rsidP="005A3772">
            <w:pPr>
              <w:jc w:val="both"/>
              <w:rPr>
                <w:rFonts w:asciiTheme="majorHAnsi" w:hAnsiTheme="majorHAnsi" w:cstheme="majorHAnsi"/>
                <w:sz w:val="22"/>
              </w:rPr>
            </w:pPr>
          </w:p>
          <w:p w14:paraId="205569AC"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lastRenderedPageBreak/>
              <w:t>The Board received the Business Development report and considered current service transitions, mobilisation activity, contract and asset-transfer matters, parking and infrastructure projects, PFI change requests and reverse-SLA arrangements.</w:t>
            </w:r>
          </w:p>
          <w:p w14:paraId="3CBBAB56" w14:textId="77777777" w:rsidR="005A3772" w:rsidRPr="005A3772" w:rsidRDefault="005A3772" w:rsidP="005A3772">
            <w:pPr>
              <w:jc w:val="both"/>
              <w:rPr>
                <w:rFonts w:asciiTheme="majorHAnsi" w:hAnsiTheme="majorHAnsi" w:cstheme="majorHAnsi"/>
                <w:sz w:val="22"/>
              </w:rPr>
            </w:pPr>
          </w:p>
          <w:p w14:paraId="07C3A6C2"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noted progress across current opportunities and agreed that benchmarking of reverse-SLA service fees should continue. The switchboard centralisation workstream would remain under review.</w:t>
            </w:r>
          </w:p>
          <w:p w14:paraId="16E4C53E" w14:textId="77777777" w:rsidR="005A3772" w:rsidRPr="005A3772" w:rsidRDefault="005A3772" w:rsidP="005A3772">
            <w:pPr>
              <w:jc w:val="both"/>
              <w:rPr>
                <w:rFonts w:asciiTheme="majorHAnsi" w:hAnsiTheme="majorHAnsi" w:cstheme="majorHAnsi"/>
                <w:sz w:val="22"/>
              </w:rPr>
            </w:pPr>
          </w:p>
          <w:p w14:paraId="77E10796"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also supported wider promotion of staff-recognition activity.</w:t>
            </w:r>
          </w:p>
          <w:p w14:paraId="13403CF9" w14:textId="77777777" w:rsidR="005A3772" w:rsidRPr="005A3772" w:rsidRDefault="005A3772" w:rsidP="005A3772">
            <w:pPr>
              <w:jc w:val="both"/>
              <w:rPr>
                <w:rFonts w:asciiTheme="majorHAnsi" w:hAnsiTheme="majorHAnsi" w:cstheme="majorHAnsi"/>
                <w:sz w:val="22"/>
              </w:rPr>
            </w:pPr>
          </w:p>
          <w:p w14:paraId="0EECFEA8"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Continue benchmarking reverse-SLA service fees and report the findings through the appropriate management route.</w:t>
            </w:r>
          </w:p>
          <w:p w14:paraId="369734DA" w14:textId="77777777" w:rsidR="005A3772" w:rsidRPr="005A3772" w:rsidRDefault="005A3772" w:rsidP="005A3772">
            <w:pPr>
              <w:jc w:val="both"/>
              <w:rPr>
                <w:rFonts w:asciiTheme="majorHAnsi" w:hAnsiTheme="majorHAnsi" w:cstheme="majorHAnsi"/>
                <w:sz w:val="22"/>
              </w:rPr>
            </w:pPr>
          </w:p>
          <w:p w14:paraId="34F21B92"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Retain the switchboard centralisation efficiency workstream on the action log.</w:t>
            </w:r>
          </w:p>
          <w:p w14:paraId="47186DC8"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 xml:space="preserve">Share the </w:t>
            </w:r>
            <w:proofErr w:type="gramStart"/>
            <w:r w:rsidRPr="005A3772">
              <w:rPr>
                <w:rFonts w:asciiTheme="majorHAnsi" w:hAnsiTheme="majorHAnsi" w:cstheme="majorHAnsi"/>
                <w:sz w:val="22"/>
              </w:rPr>
              <w:t>staff-recognition</w:t>
            </w:r>
            <w:proofErr w:type="gramEnd"/>
            <w:r w:rsidRPr="005A3772">
              <w:rPr>
                <w:rFonts w:asciiTheme="majorHAnsi" w:hAnsiTheme="majorHAnsi" w:cstheme="majorHAnsi"/>
                <w:sz w:val="22"/>
              </w:rPr>
              <w:t xml:space="preserve"> initiative with the Trust Communications Team.</w:t>
            </w:r>
          </w:p>
          <w:p w14:paraId="03499449" w14:textId="77777777" w:rsidR="005A3772" w:rsidRPr="005A3772" w:rsidRDefault="005A3772" w:rsidP="005A3772">
            <w:pPr>
              <w:jc w:val="both"/>
              <w:rPr>
                <w:rFonts w:asciiTheme="majorHAnsi" w:hAnsiTheme="majorHAnsi" w:cstheme="majorHAnsi"/>
                <w:sz w:val="22"/>
              </w:rPr>
            </w:pPr>
          </w:p>
          <w:p w14:paraId="0F385EE9"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commercial proposals, contract-transfer arrangements, pricing and fee information, negotiating positions, workforce transition detail and security-sensitive operational matters.]</w:t>
            </w:r>
          </w:p>
        </w:tc>
        <w:tc>
          <w:tcPr>
            <w:tcW w:w="1296" w:type="dxa"/>
            <w:tcMar>
              <w:top w:w="55" w:type="dxa"/>
              <w:left w:w="65" w:type="dxa"/>
              <w:bottom w:w="55" w:type="dxa"/>
              <w:right w:w="65" w:type="dxa"/>
            </w:tcMar>
            <w:vAlign w:val="center"/>
          </w:tcPr>
          <w:p w14:paraId="009DCE8A"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lastRenderedPageBreak/>
              <w:t>[REDACTED]</w:t>
            </w:r>
          </w:p>
        </w:tc>
      </w:tr>
      <w:tr w:rsidR="000E1D9E" w:rsidRPr="005A3772" w14:paraId="14EFCA46" w14:textId="77777777">
        <w:tc>
          <w:tcPr>
            <w:tcW w:w="1008" w:type="dxa"/>
            <w:tcMar>
              <w:top w:w="55" w:type="dxa"/>
              <w:left w:w="65" w:type="dxa"/>
              <w:bottom w:w="55" w:type="dxa"/>
              <w:right w:w="65" w:type="dxa"/>
            </w:tcMar>
            <w:vAlign w:val="center"/>
          </w:tcPr>
          <w:p w14:paraId="19DAEB05"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3.4</w:t>
            </w:r>
          </w:p>
        </w:tc>
        <w:tc>
          <w:tcPr>
            <w:tcW w:w="8208" w:type="dxa"/>
            <w:tcMar>
              <w:top w:w="55" w:type="dxa"/>
              <w:left w:w="65" w:type="dxa"/>
              <w:bottom w:w="55" w:type="dxa"/>
              <w:right w:w="65" w:type="dxa"/>
            </w:tcMar>
          </w:tcPr>
          <w:p w14:paraId="7E76DFDA"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Facilities Report</w:t>
            </w:r>
          </w:p>
          <w:p w14:paraId="490447CD" w14:textId="77777777" w:rsidR="005A3772" w:rsidRPr="005A3772" w:rsidRDefault="005A3772" w:rsidP="005A3772">
            <w:pPr>
              <w:jc w:val="both"/>
              <w:rPr>
                <w:rFonts w:asciiTheme="majorHAnsi" w:hAnsiTheme="majorHAnsi" w:cstheme="majorHAnsi"/>
                <w:sz w:val="22"/>
              </w:rPr>
            </w:pPr>
          </w:p>
          <w:p w14:paraId="3176A18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Director of Facilities presented the Facilities Report. The Board received updates on catering, staff engagement, retail services, CPU production, domestic and portering services, car parking, switchboard arrangements, cleaning and safety, and decontamination services.</w:t>
            </w:r>
          </w:p>
          <w:p w14:paraId="6787D5EC" w14:textId="77777777" w:rsidR="005A3772" w:rsidRPr="005A3772" w:rsidRDefault="005A3772" w:rsidP="005A3772">
            <w:pPr>
              <w:jc w:val="both"/>
              <w:rPr>
                <w:rFonts w:asciiTheme="majorHAnsi" w:hAnsiTheme="majorHAnsi" w:cstheme="majorHAnsi"/>
                <w:sz w:val="22"/>
              </w:rPr>
            </w:pPr>
          </w:p>
          <w:p w14:paraId="2F1EE70C"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reviewed service trends and requested further analysis where operational and finance information required reconciliation. The Board also considered the proposed approach to traffic and drop-off arrangements at DMH.</w:t>
            </w:r>
          </w:p>
          <w:p w14:paraId="3A37C0C2" w14:textId="77777777" w:rsidR="005A3772" w:rsidRPr="005A3772" w:rsidRDefault="005A3772" w:rsidP="005A3772">
            <w:pPr>
              <w:jc w:val="both"/>
              <w:rPr>
                <w:rFonts w:asciiTheme="majorHAnsi" w:hAnsiTheme="majorHAnsi" w:cstheme="majorHAnsi"/>
                <w:sz w:val="22"/>
              </w:rPr>
            </w:pPr>
          </w:p>
          <w:p w14:paraId="4F9283A3"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AGREED that the draft DMH car-parking proposal could proceed </w:t>
            </w:r>
            <w:proofErr w:type="gramStart"/>
            <w:r w:rsidRPr="005A3772">
              <w:rPr>
                <w:rFonts w:asciiTheme="majorHAnsi" w:hAnsiTheme="majorHAnsi" w:cstheme="majorHAnsi"/>
                <w:sz w:val="22"/>
              </w:rPr>
              <w:t>to presentation</w:t>
            </w:r>
            <w:proofErr w:type="gramEnd"/>
            <w:r w:rsidRPr="005A3772">
              <w:rPr>
                <w:rFonts w:asciiTheme="majorHAnsi" w:hAnsiTheme="majorHAnsi" w:cstheme="majorHAnsi"/>
                <w:sz w:val="22"/>
              </w:rPr>
              <w:t>, subject to the required approval and funding, and RESOLVED to NOTE the wider update.</w:t>
            </w:r>
          </w:p>
          <w:p w14:paraId="2380F101" w14:textId="77777777" w:rsidR="005A3772" w:rsidRPr="005A3772" w:rsidRDefault="005A3772" w:rsidP="005A3772">
            <w:pPr>
              <w:jc w:val="both"/>
              <w:rPr>
                <w:rFonts w:asciiTheme="majorHAnsi" w:hAnsiTheme="majorHAnsi" w:cstheme="majorHAnsi"/>
                <w:sz w:val="22"/>
              </w:rPr>
            </w:pPr>
          </w:p>
          <w:p w14:paraId="42D0DA9B"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Undertake further analysis of CPU production data.</w:t>
            </w:r>
          </w:p>
          <w:p w14:paraId="615F56B4"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Review cleaning practice and reported activity trends and report back to the Board.</w:t>
            </w:r>
          </w:p>
          <w:p w14:paraId="218E34E6"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b/>
                <w:sz w:val="22"/>
              </w:rPr>
              <w:t xml:space="preserve">Action: </w:t>
            </w:r>
            <w:r w:rsidRPr="005A3772">
              <w:rPr>
                <w:rFonts w:asciiTheme="majorHAnsi" w:hAnsiTheme="majorHAnsi" w:cstheme="majorHAnsi"/>
                <w:sz w:val="22"/>
              </w:rPr>
              <w:t>Reconcile finance and operational information relating to retail performance.</w:t>
            </w:r>
          </w:p>
          <w:p w14:paraId="501DF9E4" w14:textId="77777777" w:rsidR="005A3772" w:rsidRPr="005A3772" w:rsidRDefault="005A3772" w:rsidP="005A3772">
            <w:pPr>
              <w:jc w:val="both"/>
              <w:rPr>
                <w:rFonts w:asciiTheme="majorHAnsi" w:hAnsiTheme="majorHAnsi" w:cstheme="majorHAnsi"/>
                <w:sz w:val="22"/>
              </w:rPr>
            </w:pPr>
          </w:p>
          <w:p w14:paraId="6790188B"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staffing cases, service-level costings, patient-safety incident detail, operational vulnerabilities and commercially sensitive performance information.]</w:t>
            </w:r>
          </w:p>
        </w:tc>
        <w:tc>
          <w:tcPr>
            <w:tcW w:w="1296" w:type="dxa"/>
            <w:tcMar>
              <w:top w:w="55" w:type="dxa"/>
              <w:left w:w="65" w:type="dxa"/>
              <w:bottom w:w="55" w:type="dxa"/>
              <w:right w:w="65" w:type="dxa"/>
            </w:tcMar>
            <w:vAlign w:val="center"/>
          </w:tcPr>
          <w:p w14:paraId="1E0A8728"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[REDACTED]</w:t>
            </w:r>
          </w:p>
        </w:tc>
      </w:tr>
      <w:tr w:rsidR="000E1D9E" w:rsidRPr="005A3772" w14:paraId="2C3734E6" w14:textId="77777777">
        <w:tc>
          <w:tcPr>
            <w:tcW w:w="1008" w:type="dxa"/>
            <w:tcMar>
              <w:top w:w="55" w:type="dxa"/>
              <w:left w:w="65" w:type="dxa"/>
              <w:bottom w:w="55" w:type="dxa"/>
              <w:right w:w="65" w:type="dxa"/>
            </w:tcMar>
            <w:vAlign w:val="center"/>
          </w:tcPr>
          <w:p w14:paraId="4E2F9082"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3.5</w:t>
            </w:r>
          </w:p>
        </w:tc>
        <w:tc>
          <w:tcPr>
            <w:tcW w:w="8208" w:type="dxa"/>
            <w:tcMar>
              <w:top w:w="55" w:type="dxa"/>
              <w:left w:w="65" w:type="dxa"/>
              <w:bottom w:w="55" w:type="dxa"/>
              <w:right w:w="65" w:type="dxa"/>
            </w:tcMar>
          </w:tcPr>
          <w:p w14:paraId="11C7A418"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Procurement Report</w:t>
            </w:r>
          </w:p>
          <w:p w14:paraId="46DF9365" w14:textId="77777777" w:rsidR="005A3772" w:rsidRPr="005A3772" w:rsidRDefault="005A3772" w:rsidP="005A3772">
            <w:pPr>
              <w:jc w:val="both"/>
              <w:rPr>
                <w:rFonts w:asciiTheme="majorHAnsi" w:hAnsiTheme="majorHAnsi" w:cstheme="majorHAnsi"/>
                <w:sz w:val="22"/>
              </w:rPr>
            </w:pPr>
          </w:p>
          <w:p w14:paraId="32EEF088"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Associate Director of Procurement presented the Procurement Report. The Board considered contract-management improvements, the procurement improvement programme, systems development, savings activity, procurement breaches, governance and workforce resilience.</w:t>
            </w:r>
          </w:p>
          <w:p w14:paraId="7D0D325A" w14:textId="77777777" w:rsidR="005A3772" w:rsidRPr="005A3772" w:rsidRDefault="005A3772" w:rsidP="005A3772">
            <w:pPr>
              <w:jc w:val="both"/>
              <w:rPr>
                <w:rFonts w:asciiTheme="majorHAnsi" w:hAnsiTheme="majorHAnsi" w:cstheme="majorHAnsi"/>
                <w:sz w:val="22"/>
              </w:rPr>
            </w:pPr>
          </w:p>
          <w:p w14:paraId="138E53A5"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welcomed the strengthened contract handover and accountability arrangements and noted ongoing work to improve contract visibility, compliance and reporting.</w:t>
            </w:r>
          </w:p>
          <w:p w14:paraId="1CB3605B" w14:textId="77777777" w:rsidR="005A3772" w:rsidRPr="005A3772" w:rsidRDefault="005A3772" w:rsidP="005A3772">
            <w:pPr>
              <w:jc w:val="both"/>
              <w:rPr>
                <w:rFonts w:asciiTheme="majorHAnsi" w:hAnsiTheme="majorHAnsi" w:cstheme="majorHAnsi"/>
                <w:sz w:val="22"/>
              </w:rPr>
            </w:pPr>
          </w:p>
          <w:p w14:paraId="562BAA4C"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w:t>
            </w:r>
            <w:proofErr w:type="gramStart"/>
            <w:r w:rsidRPr="005A3772">
              <w:rPr>
                <w:rFonts w:asciiTheme="majorHAnsi" w:hAnsiTheme="majorHAnsi" w:cstheme="majorHAnsi"/>
                <w:sz w:val="22"/>
              </w:rPr>
              <w:t>RESOLVED to</w:t>
            </w:r>
            <w:proofErr w:type="gramEnd"/>
            <w:r w:rsidRPr="005A3772">
              <w:rPr>
                <w:rFonts w:asciiTheme="majorHAnsi" w:hAnsiTheme="majorHAnsi" w:cstheme="majorHAnsi"/>
                <w:sz w:val="22"/>
              </w:rPr>
              <w:t xml:space="preserve"> NOTE the report and APPROVE the next steps.</w:t>
            </w:r>
          </w:p>
          <w:p w14:paraId="772689A8" w14:textId="77777777" w:rsidR="005A3772" w:rsidRPr="005A3772" w:rsidRDefault="005A3772" w:rsidP="005A3772">
            <w:pPr>
              <w:jc w:val="both"/>
              <w:rPr>
                <w:rFonts w:asciiTheme="majorHAnsi" w:hAnsiTheme="majorHAnsi" w:cstheme="majorHAnsi"/>
                <w:sz w:val="22"/>
              </w:rPr>
            </w:pPr>
          </w:p>
          <w:p w14:paraId="6430F8C7"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savings values, supplier and contract information, procurement breaches, commercially sensitive opportunities and individual workforce matters.]</w:t>
            </w:r>
          </w:p>
        </w:tc>
        <w:tc>
          <w:tcPr>
            <w:tcW w:w="1296" w:type="dxa"/>
            <w:tcMar>
              <w:top w:w="55" w:type="dxa"/>
              <w:left w:w="65" w:type="dxa"/>
              <w:bottom w:w="55" w:type="dxa"/>
              <w:right w:w="65" w:type="dxa"/>
            </w:tcMar>
            <w:vAlign w:val="center"/>
          </w:tcPr>
          <w:p w14:paraId="45C4DBF6" w14:textId="77777777" w:rsidR="000E1D9E" w:rsidRPr="005A3772" w:rsidRDefault="000E1D9E" w:rsidP="005A3772">
            <w:pPr>
              <w:rPr>
                <w:rFonts w:asciiTheme="majorHAnsi" w:hAnsiTheme="majorHAnsi" w:cstheme="majorHAnsi"/>
                <w:sz w:val="22"/>
              </w:rPr>
            </w:pPr>
          </w:p>
        </w:tc>
      </w:tr>
      <w:tr w:rsidR="000E1D9E" w:rsidRPr="005A3772" w14:paraId="37A44875" w14:textId="77777777">
        <w:tc>
          <w:tcPr>
            <w:tcW w:w="1008" w:type="dxa"/>
            <w:tcMar>
              <w:top w:w="55" w:type="dxa"/>
              <w:left w:w="65" w:type="dxa"/>
              <w:bottom w:w="55" w:type="dxa"/>
              <w:right w:w="65" w:type="dxa"/>
            </w:tcMar>
            <w:vAlign w:val="center"/>
          </w:tcPr>
          <w:p w14:paraId="5CF52ECC"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3.6</w:t>
            </w:r>
          </w:p>
        </w:tc>
        <w:tc>
          <w:tcPr>
            <w:tcW w:w="8208" w:type="dxa"/>
            <w:tcMar>
              <w:top w:w="55" w:type="dxa"/>
              <w:left w:w="65" w:type="dxa"/>
              <w:bottom w:w="55" w:type="dxa"/>
              <w:right w:w="65" w:type="dxa"/>
            </w:tcMar>
          </w:tcPr>
          <w:p w14:paraId="451140BE"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Estates Report</w:t>
            </w:r>
          </w:p>
          <w:p w14:paraId="59CF3C21" w14:textId="77777777" w:rsidR="005A3772" w:rsidRPr="005A3772" w:rsidRDefault="005A3772" w:rsidP="005A3772">
            <w:pPr>
              <w:jc w:val="both"/>
              <w:rPr>
                <w:rFonts w:asciiTheme="majorHAnsi" w:hAnsiTheme="majorHAnsi" w:cstheme="majorHAnsi"/>
                <w:sz w:val="22"/>
              </w:rPr>
            </w:pPr>
          </w:p>
          <w:p w14:paraId="41EDA3CC"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Director of Estates presented the Estates Report in a revised format using an executive summary, RAG indicators and supporting appendices. The Board welcomed the clearer structure.</w:t>
            </w:r>
          </w:p>
          <w:p w14:paraId="5D9BFC9B" w14:textId="77777777" w:rsidR="005A3772" w:rsidRPr="005A3772" w:rsidRDefault="005A3772" w:rsidP="005A3772">
            <w:pPr>
              <w:jc w:val="both"/>
              <w:rPr>
                <w:rFonts w:asciiTheme="majorHAnsi" w:hAnsiTheme="majorHAnsi" w:cstheme="majorHAnsi"/>
                <w:sz w:val="22"/>
              </w:rPr>
            </w:pPr>
          </w:p>
          <w:p w14:paraId="54B19CBA"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considered progress across the capital programme, estates backlog, safety-fund schemes, fire safety, asset management, estate strategy and current capital bids. The Board discussed the effect of delayed approvals and strategic dependencies on programme delivery and risk management.</w:t>
            </w:r>
          </w:p>
          <w:p w14:paraId="016DC3AB" w14:textId="77777777" w:rsidR="005A3772" w:rsidRPr="005A3772" w:rsidRDefault="005A3772" w:rsidP="005A3772">
            <w:pPr>
              <w:jc w:val="both"/>
              <w:rPr>
                <w:rFonts w:asciiTheme="majorHAnsi" w:hAnsiTheme="majorHAnsi" w:cstheme="majorHAnsi"/>
                <w:sz w:val="22"/>
              </w:rPr>
            </w:pPr>
          </w:p>
          <w:p w14:paraId="3CD680AF"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noted that significant estates risks remained under active management and emphasised the need for clear Board-level understanding and assurance. The Board </w:t>
            </w:r>
            <w:proofErr w:type="gramStart"/>
            <w:r w:rsidRPr="005A3772">
              <w:rPr>
                <w:rFonts w:asciiTheme="majorHAnsi" w:hAnsiTheme="majorHAnsi" w:cstheme="majorHAnsi"/>
                <w:sz w:val="22"/>
              </w:rPr>
              <w:t>RESOLVED to</w:t>
            </w:r>
            <w:proofErr w:type="gramEnd"/>
            <w:r w:rsidRPr="005A3772">
              <w:rPr>
                <w:rFonts w:asciiTheme="majorHAnsi" w:hAnsiTheme="majorHAnsi" w:cstheme="majorHAnsi"/>
                <w:sz w:val="22"/>
              </w:rPr>
              <w:t xml:space="preserve"> NOTE the report and APPROVE the next steps.</w:t>
            </w:r>
          </w:p>
          <w:p w14:paraId="4B031E39" w14:textId="77777777" w:rsidR="005A3772" w:rsidRPr="005A3772" w:rsidRDefault="005A3772" w:rsidP="005A3772">
            <w:pPr>
              <w:jc w:val="both"/>
              <w:rPr>
                <w:rFonts w:asciiTheme="majorHAnsi" w:hAnsiTheme="majorHAnsi" w:cstheme="majorHAnsi"/>
                <w:sz w:val="22"/>
              </w:rPr>
            </w:pPr>
          </w:p>
          <w:p w14:paraId="0C138FBF"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infrastructure vulnerabilities, electrical capacity constraints, project and bid values, property negotiations, technical mitigations and live safety-risk information.]</w:t>
            </w:r>
          </w:p>
        </w:tc>
        <w:tc>
          <w:tcPr>
            <w:tcW w:w="1296" w:type="dxa"/>
            <w:tcMar>
              <w:top w:w="55" w:type="dxa"/>
              <w:left w:w="65" w:type="dxa"/>
              <w:bottom w:w="55" w:type="dxa"/>
              <w:right w:w="65" w:type="dxa"/>
            </w:tcMar>
            <w:vAlign w:val="center"/>
          </w:tcPr>
          <w:p w14:paraId="657E4184" w14:textId="77777777" w:rsidR="000E1D9E" w:rsidRPr="005A3772" w:rsidRDefault="000E1D9E" w:rsidP="005A3772">
            <w:pPr>
              <w:rPr>
                <w:rFonts w:asciiTheme="majorHAnsi" w:hAnsiTheme="majorHAnsi" w:cstheme="majorHAnsi"/>
                <w:sz w:val="22"/>
              </w:rPr>
            </w:pPr>
          </w:p>
        </w:tc>
      </w:tr>
      <w:tr w:rsidR="000E1D9E" w:rsidRPr="005A3772" w14:paraId="409BC607" w14:textId="77777777">
        <w:tc>
          <w:tcPr>
            <w:tcW w:w="1008" w:type="dxa"/>
            <w:shd w:val="clear" w:color="auto" w:fill="B4C6E7"/>
            <w:tcMar>
              <w:top w:w="55" w:type="dxa"/>
              <w:left w:w="65" w:type="dxa"/>
              <w:bottom w:w="55" w:type="dxa"/>
              <w:right w:w="65" w:type="dxa"/>
            </w:tcMar>
            <w:vAlign w:val="center"/>
          </w:tcPr>
          <w:p w14:paraId="347C92BC"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4</w:t>
            </w:r>
          </w:p>
        </w:tc>
        <w:tc>
          <w:tcPr>
            <w:tcW w:w="8208" w:type="dxa"/>
            <w:shd w:val="clear" w:color="auto" w:fill="B4C6E7"/>
            <w:tcMar>
              <w:top w:w="55" w:type="dxa"/>
              <w:left w:w="65" w:type="dxa"/>
              <w:bottom w:w="55" w:type="dxa"/>
              <w:right w:w="65" w:type="dxa"/>
            </w:tcMar>
            <w:vAlign w:val="center"/>
          </w:tcPr>
          <w:p w14:paraId="2A161528"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Focus Item</w:t>
            </w:r>
          </w:p>
        </w:tc>
        <w:tc>
          <w:tcPr>
            <w:tcW w:w="1296" w:type="dxa"/>
            <w:shd w:val="clear" w:color="auto" w:fill="B4C6E7"/>
            <w:tcMar>
              <w:top w:w="55" w:type="dxa"/>
              <w:left w:w="65" w:type="dxa"/>
              <w:bottom w:w="55" w:type="dxa"/>
              <w:right w:w="65" w:type="dxa"/>
            </w:tcMar>
            <w:vAlign w:val="center"/>
          </w:tcPr>
          <w:p w14:paraId="2C3677B9" w14:textId="77777777" w:rsidR="000E1D9E" w:rsidRPr="005A3772" w:rsidRDefault="000E1D9E" w:rsidP="005A3772">
            <w:pPr>
              <w:rPr>
                <w:rFonts w:asciiTheme="majorHAnsi" w:hAnsiTheme="majorHAnsi" w:cstheme="majorHAnsi"/>
                <w:sz w:val="22"/>
              </w:rPr>
            </w:pPr>
          </w:p>
        </w:tc>
      </w:tr>
      <w:tr w:rsidR="000E1D9E" w:rsidRPr="005A3772" w14:paraId="6E576EFE" w14:textId="77777777">
        <w:tc>
          <w:tcPr>
            <w:tcW w:w="1008" w:type="dxa"/>
            <w:tcMar>
              <w:top w:w="55" w:type="dxa"/>
              <w:left w:w="65" w:type="dxa"/>
              <w:bottom w:w="55" w:type="dxa"/>
              <w:right w:w="65" w:type="dxa"/>
            </w:tcMar>
            <w:vAlign w:val="center"/>
          </w:tcPr>
          <w:p w14:paraId="3308E1DF"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4.1</w:t>
            </w:r>
          </w:p>
        </w:tc>
        <w:tc>
          <w:tcPr>
            <w:tcW w:w="8208" w:type="dxa"/>
            <w:tcMar>
              <w:top w:w="55" w:type="dxa"/>
              <w:left w:w="65" w:type="dxa"/>
              <w:bottom w:w="55" w:type="dxa"/>
              <w:right w:w="65" w:type="dxa"/>
            </w:tcMar>
          </w:tcPr>
          <w:p w14:paraId="76CDEDFE" w14:textId="77777777" w:rsidR="000E1D9E" w:rsidRPr="005A3772" w:rsidRDefault="008363AF" w:rsidP="005A3772">
            <w:pPr>
              <w:rPr>
                <w:rFonts w:asciiTheme="majorHAnsi" w:hAnsiTheme="majorHAnsi" w:cstheme="majorHAnsi"/>
                <w:b/>
                <w:sz w:val="22"/>
              </w:rPr>
            </w:pPr>
            <w:r w:rsidRPr="005A3772">
              <w:rPr>
                <w:rFonts w:asciiTheme="majorHAnsi" w:hAnsiTheme="majorHAnsi" w:cstheme="majorHAnsi"/>
                <w:b/>
                <w:sz w:val="22"/>
              </w:rPr>
              <w:t>Risk Management</w:t>
            </w:r>
          </w:p>
          <w:p w14:paraId="355D1741" w14:textId="77777777" w:rsidR="005A3772" w:rsidRPr="005A3772" w:rsidRDefault="005A3772" w:rsidP="005A3772">
            <w:pPr>
              <w:rPr>
                <w:rFonts w:asciiTheme="majorHAnsi" w:hAnsiTheme="majorHAnsi" w:cstheme="majorHAnsi"/>
                <w:sz w:val="22"/>
              </w:rPr>
            </w:pPr>
          </w:p>
          <w:p w14:paraId="55301C23"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No additional items were discussed under this agenda item.</w:t>
            </w:r>
          </w:p>
        </w:tc>
        <w:tc>
          <w:tcPr>
            <w:tcW w:w="1296" w:type="dxa"/>
            <w:tcMar>
              <w:top w:w="55" w:type="dxa"/>
              <w:left w:w="65" w:type="dxa"/>
              <w:bottom w:w="55" w:type="dxa"/>
              <w:right w:w="65" w:type="dxa"/>
            </w:tcMar>
            <w:vAlign w:val="center"/>
          </w:tcPr>
          <w:p w14:paraId="31B45617" w14:textId="77777777" w:rsidR="000E1D9E" w:rsidRPr="005A3772" w:rsidRDefault="000E1D9E" w:rsidP="005A3772">
            <w:pPr>
              <w:rPr>
                <w:rFonts w:asciiTheme="majorHAnsi" w:hAnsiTheme="majorHAnsi" w:cstheme="majorHAnsi"/>
                <w:sz w:val="22"/>
              </w:rPr>
            </w:pPr>
          </w:p>
        </w:tc>
      </w:tr>
      <w:tr w:rsidR="000E1D9E" w:rsidRPr="005A3772" w14:paraId="482B0E89" w14:textId="77777777">
        <w:tc>
          <w:tcPr>
            <w:tcW w:w="1008" w:type="dxa"/>
            <w:tcMar>
              <w:top w:w="55" w:type="dxa"/>
              <w:left w:w="65" w:type="dxa"/>
              <w:bottom w:w="55" w:type="dxa"/>
              <w:right w:w="65" w:type="dxa"/>
            </w:tcMar>
            <w:vAlign w:val="center"/>
          </w:tcPr>
          <w:p w14:paraId="2B4A00C8"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4.2</w:t>
            </w:r>
          </w:p>
        </w:tc>
        <w:tc>
          <w:tcPr>
            <w:tcW w:w="8208" w:type="dxa"/>
            <w:tcMar>
              <w:top w:w="55" w:type="dxa"/>
              <w:left w:w="65" w:type="dxa"/>
              <w:bottom w:w="55" w:type="dxa"/>
              <w:right w:w="65" w:type="dxa"/>
            </w:tcMar>
          </w:tcPr>
          <w:p w14:paraId="510CD1E5" w14:textId="77777777" w:rsidR="000E1D9E" w:rsidRPr="005A3772" w:rsidRDefault="008363AF" w:rsidP="005A3772">
            <w:pPr>
              <w:rPr>
                <w:rFonts w:asciiTheme="majorHAnsi" w:hAnsiTheme="majorHAnsi" w:cstheme="majorHAnsi"/>
                <w:b/>
                <w:sz w:val="22"/>
              </w:rPr>
            </w:pPr>
            <w:r w:rsidRPr="005A3772">
              <w:rPr>
                <w:rFonts w:asciiTheme="majorHAnsi" w:hAnsiTheme="majorHAnsi" w:cstheme="majorHAnsi"/>
                <w:b/>
                <w:sz w:val="22"/>
              </w:rPr>
              <w:t>Identify matters to be escalated to Trust or cascaded to the Senior Leadership Team</w:t>
            </w:r>
          </w:p>
          <w:p w14:paraId="13CF74D6" w14:textId="77777777" w:rsidR="005A3772" w:rsidRPr="005A3772" w:rsidRDefault="005A3772" w:rsidP="005A3772">
            <w:pPr>
              <w:rPr>
                <w:rFonts w:asciiTheme="majorHAnsi" w:hAnsiTheme="majorHAnsi" w:cstheme="majorHAnsi"/>
                <w:sz w:val="22"/>
              </w:rPr>
            </w:pPr>
          </w:p>
          <w:p w14:paraId="73DD24D7"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No additional matters were identified for escalation under this agenda item.</w:t>
            </w:r>
          </w:p>
        </w:tc>
        <w:tc>
          <w:tcPr>
            <w:tcW w:w="1296" w:type="dxa"/>
            <w:tcMar>
              <w:top w:w="55" w:type="dxa"/>
              <w:left w:w="65" w:type="dxa"/>
              <w:bottom w:w="55" w:type="dxa"/>
              <w:right w:w="65" w:type="dxa"/>
            </w:tcMar>
            <w:vAlign w:val="center"/>
          </w:tcPr>
          <w:p w14:paraId="05DB4678" w14:textId="77777777" w:rsidR="000E1D9E" w:rsidRPr="005A3772" w:rsidRDefault="000E1D9E" w:rsidP="005A3772">
            <w:pPr>
              <w:rPr>
                <w:rFonts w:asciiTheme="majorHAnsi" w:hAnsiTheme="majorHAnsi" w:cstheme="majorHAnsi"/>
                <w:sz w:val="22"/>
              </w:rPr>
            </w:pPr>
          </w:p>
        </w:tc>
      </w:tr>
      <w:tr w:rsidR="000E1D9E" w:rsidRPr="005A3772" w14:paraId="399612CF" w14:textId="77777777">
        <w:tc>
          <w:tcPr>
            <w:tcW w:w="1008" w:type="dxa"/>
            <w:shd w:val="clear" w:color="auto" w:fill="B4C6E7"/>
            <w:tcMar>
              <w:top w:w="55" w:type="dxa"/>
              <w:left w:w="65" w:type="dxa"/>
              <w:bottom w:w="55" w:type="dxa"/>
              <w:right w:w="65" w:type="dxa"/>
            </w:tcMar>
            <w:vAlign w:val="center"/>
          </w:tcPr>
          <w:p w14:paraId="36D9664D"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5</w:t>
            </w:r>
          </w:p>
        </w:tc>
        <w:tc>
          <w:tcPr>
            <w:tcW w:w="8208" w:type="dxa"/>
            <w:shd w:val="clear" w:color="auto" w:fill="B4C6E7"/>
            <w:tcMar>
              <w:top w:w="55" w:type="dxa"/>
              <w:left w:w="65" w:type="dxa"/>
              <w:bottom w:w="55" w:type="dxa"/>
              <w:right w:w="65" w:type="dxa"/>
            </w:tcMar>
            <w:vAlign w:val="center"/>
          </w:tcPr>
          <w:p w14:paraId="4D366B38"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 xml:space="preserve">Any other business (including matters referred </w:t>
            </w:r>
            <w:proofErr w:type="gramStart"/>
            <w:r w:rsidRPr="005A3772">
              <w:rPr>
                <w:rFonts w:asciiTheme="majorHAnsi" w:hAnsiTheme="majorHAnsi" w:cstheme="majorHAnsi"/>
                <w:b/>
                <w:sz w:val="22"/>
              </w:rPr>
              <w:t>from</w:t>
            </w:r>
            <w:proofErr w:type="gramEnd"/>
            <w:r w:rsidRPr="005A3772">
              <w:rPr>
                <w:rFonts w:asciiTheme="majorHAnsi" w:hAnsiTheme="majorHAnsi" w:cstheme="majorHAnsi"/>
                <w:b/>
                <w:sz w:val="22"/>
              </w:rPr>
              <w:t xml:space="preserve"> the Senior Leadership Team)</w:t>
            </w:r>
          </w:p>
        </w:tc>
        <w:tc>
          <w:tcPr>
            <w:tcW w:w="1296" w:type="dxa"/>
            <w:shd w:val="clear" w:color="auto" w:fill="B4C6E7"/>
            <w:tcMar>
              <w:top w:w="55" w:type="dxa"/>
              <w:left w:w="65" w:type="dxa"/>
              <w:bottom w:w="55" w:type="dxa"/>
              <w:right w:w="65" w:type="dxa"/>
            </w:tcMar>
            <w:vAlign w:val="center"/>
          </w:tcPr>
          <w:p w14:paraId="3BBC159E" w14:textId="77777777" w:rsidR="000E1D9E" w:rsidRPr="005A3772" w:rsidRDefault="000E1D9E" w:rsidP="005A3772">
            <w:pPr>
              <w:rPr>
                <w:rFonts w:asciiTheme="majorHAnsi" w:hAnsiTheme="majorHAnsi" w:cstheme="majorHAnsi"/>
                <w:sz w:val="22"/>
              </w:rPr>
            </w:pPr>
          </w:p>
        </w:tc>
      </w:tr>
      <w:tr w:rsidR="000E1D9E" w:rsidRPr="005A3772" w14:paraId="0D1B7F5A" w14:textId="77777777">
        <w:tc>
          <w:tcPr>
            <w:tcW w:w="1008" w:type="dxa"/>
            <w:tcMar>
              <w:top w:w="55" w:type="dxa"/>
              <w:left w:w="65" w:type="dxa"/>
              <w:bottom w:w="55" w:type="dxa"/>
              <w:right w:w="65" w:type="dxa"/>
            </w:tcMar>
            <w:vAlign w:val="center"/>
          </w:tcPr>
          <w:p w14:paraId="4D5C62D2"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sz w:val="22"/>
              </w:rPr>
              <w:t>5.1</w:t>
            </w:r>
          </w:p>
        </w:tc>
        <w:tc>
          <w:tcPr>
            <w:tcW w:w="8208" w:type="dxa"/>
            <w:tcMar>
              <w:top w:w="55" w:type="dxa"/>
              <w:left w:w="65" w:type="dxa"/>
              <w:bottom w:w="55" w:type="dxa"/>
              <w:right w:w="65" w:type="dxa"/>
            </w:tcMar>
          </w:tcPr>
          <w:p w14:paraId="6C47E109"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Staff Terms and Conditions Review</w:t>
            </w:r>
          </w:p>
          <w:p w14:paraId="62BDD3C6" w14:textId="77777777" w:rsidR="005A3772" w:rsidRPr="005A3772" w:rsidRDefault="005A3772" w:rsidP="005A3772">
            <w:pPr>
              <w:jc w:val="both"/>
              <w:rPr>
                <w:rFonts w:asciiTheme="majorHAnsi" w:hAnsiTheme="majorHAnsi" w:cstheme="majorHAnsi"/>
                <w:sz w:val="22"/>
              </w:rPr>
            </w:pPr>
          </w:p>
          <w:p w14:paraId="1C9112CE"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 xml:space="preserve">The Board considered proposed amendments to SCL staff terms and conditions following a review informed by staff feedback and </w:t>
            </w:r>
            <w:proofErr w:type="spellStart"/>
            <w:r w:rsidRPr="005A3772">
              <w:rPr>
                <w:rFonts w:asciiTheme="majorHAnsi" w:hAnsiTheme="majorHAnsi" w:cstheme="majorHAnsi"/>
                <w:sz w:val="22"/>
              </w:rPr>
              <w:t>organisational</w:t>
            </w:r>
            <w:proofErr w:type="spellEnd"/>
            <w:r w:rsidRPr="005A3772">
              <w:rPr>
                <w:rFonts w:asciiTheme="majorHAnsi" w:hAnsiTheme="majorHAnsi" w:cstheme="majorHAnsi"/>
                <w:sz w:val="22"/>
              </w:rPr>
              <w:t xml:space="preserve"> requirements.</w:t>
            </w:r>
          </w:p>
          <w:p w14:paraId="6204150C" w14:textId="77777777" w:rsidR="005A3772" w:rsidRPr="005A3772" w:rsidRDefault="005A3772" w:rsidP="005A3772">
            <w:pPr>
              <w:jc w:val="both"/>
              <w:rPr>
                <w:rFonts w:asciiTheme="majorHAnsi" w:hAnsiTheme="majorHAnsi" w:cstheme="majorHAnsi"/>
                <w:sz w:val="22"/>
              </w:rPr>
            </w:pPr>
          </w:p>
          <w:p w14:paraId="048B181F"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Board APPROVED amendments relating to holiday allocation, role-move protections and sickness-pay provisions, with appropriate communication and implementation arrangements to follow.</w:t>
            </w:r>
          </w:p>
          <w:p w14:paraId="4294A09C" w14:textId="77777777" w:rsidR="005A3772" w:rsidRPr="005A3772" w:rsidRDefault="005A3772" w:rsidP="005A3772">
            <w:pPr>
              <w:jc w:val="both"/>
              <w:rPr>
                <w:rFonts w:asciiTheme="majorHAnsi" w:hAnsiTheme="majorHAnsi" w:cstheme="majorHAnsi"/>
                <w:sz w:val="22"/>
              </w:rPr>
            </w:pPr>
          </w:p>
          <w:p w14:paraId="672901F9"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A separate senior pay matter was noted for consideration outside the Board meeting.</w:t>
            </w:r>
          </w:p>
          <w:p w14:paraId="383E6AB2" w14:textId="77777777" w:rsidR="005A3772" w:rsidRPr="005A3772" w:rsidRDefault="005A3772" w:rsidP="005A3772">
            <w:pPr>
              <w:jc w:val="both"/>
              <w:rPr>
                <w:rFonts w:asciiTheme="majorHAnsi" w:hAnsiTheme="majorHAnsi" w:cstheme="majorHAnsi"/>
                <w:sz w:val="22"/>
              </w:rPr>
            </w:pPr>
          </w:p>
          <w:p w14:paraId="2B3DADD0"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[REDACTED – detailed employment terms, legal advice, individual employment information and confidential remuneration matters.]</w:t>
            </w:r>
          </w:p>
        </w:tc>
        <w:tc>
          <w:tcPr>
            <w:tcW w:w="1296" w:type="dxa"/>
            <w:tcMar>
              <w:top w:w="55" w:type="dxa"/>
              <w:left w:w="65" w:type="dxa"/>
              <w:bottom w:w="55" w:type="dxa"/>
              <w:right w:w="65" w:type="dxa"/>
            </w:tcMar>
            <w:vAlign w:val="center"/>
          </w:tcPr>
          <w:p w14:paraId="7841BDCE" w14:textId="77777777" w:rsidR="000E1D9E" w:rsidRPr="005A3772" w:rsidRDefault="000E1D9E" w:rsidP="005A3772">
            <w:pPr>
              <w:rPr>
                <w:rFonts w:asciiTheme="majorHAnsi" w:hAnsiTheme="majorHAnsi" w:cstheme="majorHAnsi"/>
                <w:sz w:val="22"/>
              </w:rPr>
            </w:pPr>
          </w:p>
        </w:tc>
      </w:tr>
      <w:tr w:rsidR="000E1D9E" w:rsidRPr="005A3772" w14:paraId="603ADE00" w14:textId="77777777">
        <w:tc>
          <w:tcPr>
            <w:tcW w:w="1008" w:type="dxa"/>
            <w:shd w:val="clear" w:color="auto" w:fill="B4C6E7"/>
            <w:tcMar>
              <w:top w:w="55" w:type="dxa"/>
              <w:left w:w="65" w:type="dxa"/>
              <w:bottom w:w="55" w:type="dxa"/>
              <w:right w:w="65" w:type="dxa"/>
            </w:tcMar>
            <w:vAlign w:val="center"/>
          </w:tcPr>
          <w:p w14:paraId="72F14861"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6</w:t>
            </w:r>
          </w:p>
        </w:tc>
        <w:tc>
          <w:tcPr>
            <w:tcW w:w="8208" w:type="dxa"/>
            <w:shd w:val="clear" w:color="auto" w:fill="B4C6E7"/>
            <w:tcMar>
              <w:top w:w="55" w:type="dxa"/>
              <w:left w:w="65" w:type="dxa"/>
              <w:bottom w:w="55" w:type="dxa"/>
              <w:right w:w="65" w:type="dxa"/>
            </w:tcMar>
            <w:vAlign w:val="center"/>
          </w:tcPr>
          <w:p w14:paraId="2D72A348" w14:textId="77777777" w:rsidR="000E1D9E" w:rsidRPr="005A3772" w:rsidRDefault="008363AF" w:rsidP="005A3772">
            <w:pPr>
              <w:rPr>
                <w:rFonts w:asciiTheme="majorHAnsi" w:hAnsiTheme="majorHAnsi" w:cstheme="majorHAnsi"/>
                <w:sz w:val="22"/>
              </w:rPr>
            </w:pPr>
            <w:r w:rsidRPr="005A3772">
              <w:rPr>
                <w:rFonts w:asciiTheme="majorHAnsi" w:hAnsiTheme="majorHAnsi" w:cstheme="majorHAnsi"/>
                <w:b/>
                <w:sz w:val="22"/>
              </w:rPr>
              <w:t>Date, Time and Venue of Next Board Meeting</w:t>
            </w:r>
          </w:p>
        </w:tc>
        <w:tc>
          <w:tcPr>
            <w:tcW w:w="1296" w:type="dxa"/>
            <w:shd w:val="clear" w:color="auto" w:fill="B4C6E7"/>
            <w:tcMar>
              <w:top w:w="55" w:type="dxa"/>
              <w:left w:w="65" w:type="dxa"/>
              <w:bottom w:w="55" w:type="dxa"/>
              <w:right w:w="65" w:type="dxa"/>
            </w:tcMar>
            <w:vAlign w:val="center"/>
          </w:tcPr>
          <w:p w14:paraId="21EEC651" w14:textId="77777777" w:rsidR="000E1D9E" w:rsidRPr="005A3772" w:rsidRDefault="000E1D9E" w:rsidP="005A3772">
            <w:pPr>
              <w:rPr>
                <w:rFonts w:asciiTheme="majorHAnsi" w:hAnsiTheme="majorHAnsi" w:cstheme="majorHAnsi"/>
                <w:sz w:val="22"/>
              </w:rPr>
            </w:pPr>
          </w:p>
        </w:tc>
      </w:tr>
      <w:tr w:rsidR="000E1D9E" w:rsidRPr="005A3772" w14:paraId="56317C05" w14:textId="77777777">
        <w:tc>
          <w:tcPr>
            <w:tcW w:w="1008" w:type="dxa"/>
            <w:tcMar>
              <w:top w:w="55" w:type="dxa"/>
              <w:left w:w="65" w:type="dxa"/>
              <w:bottom w:w="55" w:type="dxa"/>
              <w:right w:w="65" w:type="dxa"/>
            </w:tcMar>
            <w:vAlign w:val="center"/>
          </w:tcPr>
          <w:p w14:paraId="4D639844" w14:textId="77777777" w:rsidR="000E1D9E" w:rsidRPr="005A3772" w:rsidRDefault="000E1D9E" w:rsidP="005A3772">
            <w:pPr>
              <w:rPr>
                <w:rFonts w:asciiTheme="majorHAnsi" w:hAnsiTheme="majorHAnsi" w:cstheme="majorHAnsi"/>
                <w:sz w:val="22"/>
              </w:rPr>
            </w:pPr>
          </w:p>
        </w:tc>
        <w:tc>
          <w:tcPr>
            <w:tcW w:w="8208" w:type="dxa"/>
            <w:tcMar>
              <w:top w:w="55" w:type="dxa"/>
              <w:left w:w="65" w:type="dxa"/>
              <w:bottom w:w="55" w:type="dxa"/>
              <w:right w:w="65" w:type="dxa"/>
            </w:tcMar>
          </w:tcPr>
          <w:p w14:paraId="00D5429F" w14:textId="77777777" w:rsidR="000E1D9E" w:rsidRPr="005A3772" w:rsidRDefault="008363AF" w:rsidP="005A3772">
            <w:pPr>
              <w:jc w:val="both"/>
              <w:rPr>
                <w:rFonts w:asciiTheme="majorHAnsi" w:hAnsiTheme="majorHAnsi" w:cstheme="majorHAnsi"/>
                <w:b/>
                <w:sz w:val="22"/>
              </w:rPr>
            </w:pPr>
            <w:r w:rsidRPr="005A3772">
              <w:rPr>
                <w:rFonts w:asciiTheme="majorHAnsi" w:hAnsiTheme="majorHAnsi" w:cstheme="majorHAnsi"/>
                <w:b/>
                <w:sz w:val="22"/>
              </w:rPr>
              <w:t>Next Board Meeting</w:t>
            </w:r>
          </w:p>
          <w:p w14:paraId="26C32FA5" w14:textId="77777777" w:rsidR="005A3772" w:rsidRPr="005A3772" w:rsidRDefault="005A3772" w:rsidP="005A3772">
            <w:pPr>
              <w:jc w:val="both"/>
              <w:rPr>
                <w:rFonts w:asciiTheme="majorHAnsi" w:hAnsiTheme="majorHAnsi" w:cstheme="majorHAnsi"/>
                <w:sz w:val="22"/>
              </w:rPr>
            </w:pPr>
          </w:p>
          <w:p w14:paraId="1069800B" w14:textId="77777777" w:rsidR="000E1D9E" w:rsidRPr="005A3772" w:rsidRDefault="008363AF" w:rsidP="005A3772">
            <w:pPr>
              <w:jc w:val="both"/>
              <w:rPr>
                <w:rFonts w:asciiTheme="majorHAnsi" w:hAnsiTheme="majorHAnsi" w:cstheme="majorHAnsi"/>
                <w:sz w:val="22"/>
              </w:rPr>
            </w:pPr>
            <w:r w:rsidRPr="005A3772">
              <w:rPr>
                <w:rFonts w:asciiTheme="majorHAnsi" w:hAnsiTheme="majorHAnsi" w:cstheme="majorHAnsi"/>
                <w:sz w:val="22"/>
              </w:rPr>
              <w:t>The next Board meeting is scheduled for Wednesday 4 February 2026, 14:00–16:30, SCL Meeting Room.</w:t>
            </w:r>
          </w:p>
        </w:tc>
        <w:tc>
          <w:tcPr>
            <w:tcW w:w="1296" w:type="dxa"/>
            <w:tcMar>
              <w:top w:w="55" w:type="dxa"/>
              <w:left w:w="65" w:type="dxa"/>
              <w:bottom w:w="55" w:type="dxa"/>
              <w:right w:w="65" w:type="dxa"/>
            </w:tcMar>
            <w:vAlign w:val="center"/>
          </w:tcPr>
          <w:p w14:paraId="3A61D4E7" w14:textId="77777777" w:rsidR="000E1D9E" w:rsidRPr="005A3772" w:rsidRDefault="000E1D9E" w:rsidP="005A3772">
            <w:pPr>
              <w:rPr>
                <w:rFonts w:asciiTheme="majorHAnsi" w:hAnsiTheme="majorHAnsi" w:cstheme="majorHAnsi"/>
                <w:sz w:val="22"/>
              </w:rPr>
            </w:pPr>
          </w:p>
        </w:tc>
      </w:tr>
    </w:tbl>
    <w:p w14:paraId="436FA2BC" w14:textId="1B03A0D6" w:rsidR="000E1D9E" w:rsidRPr="005A3772" w:rsidRDefault="000E1D9E">
      <w:pPr>
        <w:spacing w:before="200"/>
        <w:rPr>
          <w:rFonts w:asciiTheme="majorHAnsi" w:hAnsiTheme="majorHAnsi" w:cstheme="majorHAnsi"/>
          <w:sz w:val="22"/>
        </w:rPr>
      </w:pPr>
    </w:p>
    <w:sectPr w:rsidR="000E1D9E" w:rsidRPr="005A3772" w:rsidSect="00034616">
      <w:footerReference w:type="default" r:id="rId9"/>
      <w:pgSz w:w="11906" w:h="16838"/>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658DB" w14:textId="77777777" w:rsidR="009847F2" w:rsidRDefault="009847F2">
      <w:pPr>
        <w:spacing w:line="240" w:lineRule="auto"/>
      </w:pPr>
      <w:r>
        <w:separator/>
      </w:r>
    </w:p>
  </w:endnote>
  <w:endnote w:type="continuationSeparator" w:id="0">
    <w:p w14:paraId="72C6A6AD" w14:textId="77777777" w:rsidR="009847F2" w:rsidRDefault="009847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9F77" w14:textId="77777777" w:rsidR="000E1D9E" w:rsidRDefault="008363AF">
    <w:pPr>
      <w:pStyle w:val="Footer"/>
      <w:jc w:val="center"/>
    </w:pPr>
    <w:r>
      <w:rPr>
        <w:sz w:val="14"/>
      </w:rPr>
      <w:t>Synchronicity Care Limited</w:t>
    </w:r>
    <w:r>
      <w:rPr>
        <w:sz w:val="14"/>
      </w:rPr>
      <w:br/>
      <w:t xml:space="preserve">Registered Address: Darlington Memorial Hospital, </w:t>
    </w:r>
    <w:proofErr w:type="spellStart"/>
    <w:r>
      <w:rPr>
        <w:sz w:val="14"/>
      </w:rPr>
      <w:t>Hollyhurst</w:t>
    </w:r>
    <w:proofErr w:type="spellEnd"/>
    <w:r>
      <w:rPr>
        <w:sz w:val="14"/>
      </w:rPr>
      <w:t xml:space="preserve"> Road, Darlington DL3 6HX</w:t>
    </w:r>
    <w:r>
      <w:rPr>
        <w:sz w:val="14"/>
      </w:rPr>
      <w:br/>
      <w:t>Registered Company Number: 9679630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E3FCD" w14:textId="77777777" w:rsidR="009847F2" w:rsidRDefault="009847F2">
      <w:pPr>
        <w:spacing w:line="240" w:lineRule="auto"/>
      </w:pPr>
      <w:r>
        <w:separator/>
      </w:r>
    </w:p>
  </w:footnote>
  <w:footnote w:type="continuationSeparator" w:id="0">
    <w:p w14:paraId="24E9EF68" w14:textId="77777777" w:rsidR="009847F2" w:rsidRDefault="009847F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915462">
    <w:abstractNumId w:val="8"/>
  </w:num>
  <w:num w:numId="2" w16cid:durableId="1489051768">
    <w:abstractNumId w:val="6"/>
  </w:num>
  <w:num w:numId="3" w16cid:durableId="361978351">
    <w:abstractNumId w:val="5"/>
  </w:num>
  <w:num w:numId="4" w16cid:durableId="76248020">
    <w:abstractNumId w:val="4"/>
  </w:num>
  <w:num w:numId="5" w16cid:durableId="751512038">
    <w:abstractNumId w:val="7"/>
  </w:num>
  <w:num w:numId="6" w16cid:durableId="1558585749">
    <w:abstractNumId w:val="3"/>
  </w:num>
  <w:num w:numId="7" w16cid:durableId="630786053">
    <w:abstractNumId w:val="2"/>
  </w:num>
  <w:num w:numId="8" w16cid:durableId="1486388020">
    <w:abstractNumId w:val="1"/>
  </w:num>
  <w:num w:numId="9" w16cid:durableId="1201210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1D9E"/>
    <w:rsid w:val="0015074B"/>
    <w:rsid w:val="00240B2B"/>
    <w:rsid w:val="0029639D"/>
    <w:rsid w:val="00326F90"/>
    <w:rsid w:val="005A3772"/>
    <w:rsid w:val="008363AF"/>
    <w:rsid w:val="00864A83"/>
    <w:rsid w:val="009847F2"/>
    <w:rsid w:val="00AA1D8D"/>
    <w:rsid w:val="00AD174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4268D3"/>
  <w14:defaultImageDpi w14:val="300"/>
  <w15:docId w15:val="{5A743D59-1601-4851-9FF2-88CA2ECDB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1605</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Board Minutes - 26 August 2025</dc:title>
  <dc:subject/>
  <dc:creator>Synchronicity Care Limited</dc:creator>
  <cp:keywords/>
  <dc:description>generated by python-docx</dc:description>
  <cp:lastModifiedBy>THOMPSON, Katherine (COUNTY DURHAM AND DARLINGTON NHS FOUNDATION TRUST)</cp:lastModifiedBy>
  <cp:revision>3</cp:revision>
  <dcterms:created xsi:type="dcterms:W3CDTF">2026-09-17T14:08:00Z</dcterms:created>
  <dcterms:modified xsi:type="dcterms:W3CDTF">2026-09-17T14:56:00Z</dcterms:modified>
  <cp:category/>
</cp:coreProperties>
</file>