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5602B" w14:textId="1A1582F3" w:rsidR="0045557C" w:rsidRDefault="007A41F4" w:rsidP="0045557C">
      <w:pPr>
        <w:tabs>
          <w:tab w:val="center" w:pos="4153"/>
          <w:tab w:val="right" w:pos="8306"/>
        </w:tabs>
        <w:spacing w:after="0"/>
        <w:jc w:val="right"/>
        <w:rPr>
          <w:rFonts w:ascii="Arial" w:eastAsia="Times New Roman" w:hAnsi="Arial"/>
          <w:i/>
          <w:iCs/>
          <w:color w:val="000000"/>
          <w:sz w:val="18"/>
          <w:szCs w:val="18"/>
        </w:rPr>
      </w:pPr>
      <w:r w:rsidRPr="00066009">
        <w:rPr>
          <w:noProof/>
          <w:lang w:eastAsia="en-GB"/>
        </w:rPr>
        <w:drawing>
          <wp:inline distT="0" distB="0" distL="0" distR="0" wp14:anchorId="464D72E1" wp14:editId="243CE9F9">
            <wp:extent cx="1759515" cy="989727"/>
            <wp:effectExtent l="0" t="0" r="0" b="1270"/>
            <wp:docPr id="2" name="Picture 2" descr="\\DMH-P-STORE1\Data\Estates and Facilities\Estates\Users\SStangroom1\My Documents\SStangroom\Admin &amp; Maps\Logos\New SCL Logos May 2023\SCL logo_12MAY2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H-P-STORE1\Data\Estates and Facilities\Estates\Users\SStangroom1\My Documents\SStangroom\Admin &amp; Maps\Logos\New SCL Logos May 2023\SCL logo_12MAY23 -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1375" cy="1035773"/>
                    </a:xfrm>
                    <a:prstGeom prst="rect">
                      <a:avLst/>
                    </a:prstGeom>
                    <a:noFill/>
                    <a:ln>
                      <a:noFill/>
                    </a:ln>
                  </pic:spPr>
                </pic:pic>
              </a:graphicData>
            </a:graphic>
          </wp:inline>
        </w:drawing>
      </w:r>
    </w:p>
    <w:p w14:paraId="54E5602C"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A7901" w14:paraId="54E56031" w14:textId="77777777" w:rsidTr="00F123FB">
        <w:tc>
          <w:tcPr>
            <w:tcW w:w="5221" w:type="dxa"/>
            <w:shd w:val="clear" w:color="auto" w:fill="BFBFBF" w:themeFill="background1" w:themeFillShade="BF"/>
          </w:tcPr>
          <w:p w14:paraId="54E5602D" w14:textId="1D3CE6B2" w:rsidR="00F123FB" w:rsidRPr="00AA7901" w:rsidRDefault="00F123FB" w:rsidP="005A6590">
            <w:pPr>
              <w:rPr>
                <w:rFonts w:cstheme="minorHAnsi"/>
                <w:b/>
                <w:sz w:val="24"/>
                <w:szCs w:val="24"/>
              </w:rPr>
            </w:pPr>
            <w:r w:rsidRPr="00AA7901">
              <w:rPr>
                <w:rFonts w:cstheme="minorHAnsi"/>
                <w:b/>
                <w:sz w:val="24"/>
                <w:szCs w:val="24"/>
              </w:rPr>
              <w:t xml:space="preserve">Post Title: </w:t>
            </w:r>
            <w:r w:rsidR="0080381A">
              <w:rPr>
                <w:rFonts w:cstheme="minorHAnsi"/>
                <w:b/>
                <w:sz w:val="24"/>
                <w:szCs w:val="24"/>
              </w:rPr>
              <w:t xml:space="preserve">Sterile Services Technician </w:t>
            </w:r>
          </w:p>
          <w:p w14:paraId="54E5602E" w14:textId="77777777" w:rsidR="00F123FB" w:rsidRPr="00AA7901" w:rsidRDefault="00F123FB" w:rsidP="005A6590">
            <w:pPr>
              <w:rPr>
                <w:rFonts w:cstheme="minorHAnsi"/>
                <w:sz w:val="24"/>
                <w:szCs w:val="24"/>
              </w:rPr>
            </w:pPr>
          </w:p>
        </w:tc>
        <w:tc>
          <w:tcPr>
            <w:tcW w:w="5411" w:type="dxa"/>
            <w:shd w:val="clear" w:color="auto" w:fill="BFBFBF" w:themeFill="background1" w:themeFillShade="BF"/>
          </w:tcPr>
          <w:p w14:paraId="54E5602F" w14:textId="77777777" w:rsidR="00F123FB" w:rsidRPr="00AA7901" w:rsidRDefault="00F123FB" w:rsidP="005A6590">
            <w:pPr>
              <w:rPr>
                <w:rFonts w:cstheme="minorHAnsi"/>
                <w:b/>
                <w:sz w:val="24"/>
                <w:szCs w:val="24"/>
              </w:rPr>
            </w:pPr>
            <w:r w:rsidRPr="00AA7901">
              <w:rPr>
                <w:rFonts w:cstheme="minorHAnsi"/>
                <w:b/>
                <w:sz w:val="24"/>
                <w:szCs w:val="24"/>
              </w:rPr>
              <w:t>Post Reference:</w:t>
            </w:r>
          </w:p>
        </w:tc>
        <w:tc>
          <w:tcPr>
            <w:tcW w:w="4252" w:type="dxa"/>
            <w:shd w:val="clear" w:color="auto" w:fill="BFBFBF" w:themeFill="background1" w:themeFillShade="BF"/>
          </w:tcPr>
          <w:p w14:paraId="54E56030" w14:textId="77777777" w:rsidR="00F123FB" w:rsidRPr="00AA7901" w:rsidRDefault="00F123FB" w:rsidP="005A6590">
            <w:pPr>
              <w:rPr>
                <w:rFonts w:cstheme="minorHAnsi"/>
                <w:sz w:val="24"/>
                <w:szCs w:val="24"/>
              </w:rPr>
            </w:pPr>
          </w:p>
        </w:tc>
      </w:tr>
      <w:tr w:rsidR="00F123FB" w:rsidRPr="00AA7901" w14:paraId="54E5603B" w14:textId="77777777" w:rsidTr="00F123FB">
        <w:tc>
          <w:tcPr>
            <w:tcW w:w="10632" w:type="dxa"/>
            <w:gridSpan w:val="2"/>
            <w:vMerge w:val="restart"/>
          </w:tcPr>
          <w:p w14:paraId="54E56032" w14:textId="77777777" w:rsidR="00F123FB" w:rsidRPr="00AA7901" w:rsidRDefault="00F123FB" w:rsidP="005A6590">
            <w:pPr>
              <w:jc w:val="both"/>
              <w:rPr>
                <w:rFonts w:cstheme="minorHAnsi"/>
                <w:b/>
                <w:sz w:val="24"/>
                <w:szCs w:val="24"/>
              </w:rPr>
            </w:pPr>
            <w:r w:rsidRPr="00AA7901">
              <w:rPr>
                <w:rFonts w:cstheme="minorHAnsi"/>
                <w:b/>
                <w:sz w:val="24"/>
                <w:szCs w:val="24"/>
              </w:rPr>
              <w:t xml:space="preserve">Summary of the Role: </w:t>
            </w:r>
          </w:p>
          <w:p w14:paraId="78FEAE9A" w14:textId="77777777" w:rsidR="00F74E4C" w:rsidRPr="00AA7901" w:rsidRDefault="00F74E4C" w:rsidP="00F74E4C">
            <w:pPr>
              <w:keepNext/>
              <w:ind w:left="720"/>
              <w:jc w:val="both"/>
              <w:outlineLvl w:val="0"/>
              <w:rPr>
                <w:rFonts w:eastAsia="Times New Roman" w:cstheme="minorHAnsi"/>
                <w:szCs w:val="20"/>
                <w:lang w:val="en-US"/>
              </w:rPr>
            </w:pPr>
          </w:p>
          <w:p w14:paraId="275CA800" w14:textId="77777777" w:rsidR="00F74E4C" w:rsidRPr="00AA7901" w:rsidRDefault="00F74E4C" w:rsidP="00F74E4C">
            <w:pPr>
              <w:keepNext/>
              <w:ind w:left="720"/>
              <w:jc w:val="both"/>
              <w:outlineLvl w:val="0"/>
              <w:rPr>
                <w:rFonts w:eastAsia="Times New Roman" w:cstheme="minorHAnsi"/>
                <w:szCs w:val="20"/>
                <w:lang w:val="en-US"/>
              </w:rPr>
            </w:pPr>
            <w:r w:rsidRPr="00AA7901">
              <w:rPr>
                <w:rFonts w:eastAsia="Times New Roman" w:cstheme="minorHAnsi"/>
                <w:szCs w:val="20"/>
                <w:lang w:val="en-US"/>
              </w:rPr>
              <w:t xml:space="preserve">Thorough and effective decontamination of medical devices is crucial to the provision and delivery of safe patient care.  </w:t>
            </w:r>
            <w:r w:rsidRPr="00AA7901">
              <w:rPr>
                <w:rFonts w:eastAsia="Times New Roman" w:cstheme="minorHAnsi"/>
                <w:szCs w:val="20"/>
                <w:lang w:val="en-US"/>
              </w:rPr>
              <w:tab/>
            </w:r>
          </w:p>
          <w:p w14:paraId="28A5C4EB" w14:textId="77777777" w:rsidR="00F74E4C" w:rsidRPr="00AA7901" w:rsidRDefault="00F74E4C" w:rsidP="00F74E4C">
            <w:pPr>
              <w:keepNext/>
              <w:jc w:val="both"/>
              <w:outlineLvl w:val="0"/>
              <w:rPr>
                <w:rFonts w:eastAsia="Times New Roman" w:cstheme="minorHAnsi"/>
                <w:szCs w:val="20"/>
                <w:lang w:val="en-US"/>
              </w:rPr>
            </w:pPr>
            <w:r w:rsidRPr="00AA7901">
              <w:rPr>
                <w:rFonts w:eastAsia="Times New Roman" w:cstheme="minorHAnsi"/>
                <w:szCs w:val="20"/>
                <w:lang w:val="en-US"/>
              </w:rPr>
              <w:tab/>
            </w:r>
          </w:p>
          <w:p w14:paraId="7A8038B2" w14:textId="77777777" w:rsidR="00F74E4C" w:rsidRPr="00AA7901" w:rsidRDefault="00F74E4C" w:rsidP="00F74E4C">
            <w:pPr>
              <w:keepNext/>
              <w:ind w:left="720"/>
              <w:jc w:val="both"/>
              <w:outlineLvl w:val="0"/>
              <w:rPr>
                <w:rFonts w:eastAsia="Times New Roman" w:cstheme="minorHAnsi"/>
                <w:szCs w:val="20"/>
                <w:lang w:val="en-US"/>
              </w:rPr>
            </w:pPr>
            <w:r w:rsidRPr="00AA7901">
              <w:rPr>
                <w:rFonts w:eastAsia="Times New Roman" w:cstheme="minorHAnsi"/>
                <w:szCs w:val="20"/>
                <w:lang w:val="en-US"/>
              </w:rPr>
              <w:t>The post holder will be part of the Sterile Services team responsible for the provision of a quality driven decontamination service, throughout the Trust as well as to external customers.</w:t>
            </w:r>
          </w:p>
          <w:p w14:paraId="240BEFE3" w14:textId="77777777" w:rsidR="00F74E4C" w:rsidRPr="00AA7901" w:rsidRDefault="00F74E4C" w:rsidP="00F74E4C">
            <w:pPr>
              <w:keepNext/>
              <w:jc w:val="both"/>
              <w:outlineLvl w:val="0"/>
              <w:rPr>
                <w:rFonts w:eastAsia="Times New Roman" w:cstheme="minorHAnsi"/>
                <w:u w:val="single"/>
                <w:lang w:val="en-US"/>
              </w:rPr>
            </w:pPr>
          </w:p>
          <w:p w14:paraId="1E00FFA9" w14:textId="77777777" w:rsidR="00F74E4C" w:rsidRPr="00AA7901" w:rsidRDefault="00F74E4C" w:rsidP="005A6590">
            <w:pPr>
              <w:jc w:val="both"/>
              <w:rPr>
                <w:rFonts w:cstheme="minorHAnsi"/>
                <w:b/>
                <w:sz w:val="24"/>
                <w:szCs w:val="24"/>
              </w:rPr>
            </w:pPr>
          </w:p>
          <w:p w14:paraId="54E56033" w14:textId="77777777" w:rsidR="00BC55C1" w:rsidRPr="00AA7901" w:rsidRDefault="00BC55C1" w:rsidP="005A6590">
            <w:pPr>
              <w:jc w:val="both"/>
              <w:rPr>
                <w:rFonts w:cstheme="minorHAnsi"/>
                <w:b/>
                <w:sz w:val="24"/>
                <w:szCs w:val="24"/>
              </w:rPr>
            </w:pPr>
          </w:p>
          <w:p w14:paraId="54E56035" w14:textId="77777777" w:rsidR="00F123FB" w:rsidRPr="00AA7901" w:rsidRDefault="00F123FB" w:rsidP="00D848CA">
            <w:pPr>
              <w:pStyle w:val="ListParagraph"/>
              <w:keepNext/>
              <w:spacing w:after="0"/>
              <w:jc w:val="both"/>
              <w:outlineLvl w:val="1"/>
              <w:rPr>
                <w:rFonts w:asciiTheme="minorHAnsi" w:hAnsiTheme="minorHAnsi" w:cstheme="minorHAnsi"/>
                <w:sz w:val="24"/>
                <w:szCs w:val="24"/>
              </w:rPr>
            </w:pPr>
          </w:p>
        </w:tc>
        <w:tc>
          <w:tcPr>
            <w:tcW w:w="4252" w:type="dxa"/>
          </w:tcPr>
          <w:p w14:paraId="54E56036" w14:textId="77777777" w:rsidR="00F123FB" w:rsidRPr="00AA7901" w:rsidRDefault="00F123FB" w:rsidP="005A6590">
            <w:pPr>
              <w:rPr>
                <w:rFonts w:cstheme="minorHAnsi"/>
                <w:b/>
                <w:sz w:val="24"/>
                <w:szCs w:val="24"/>
              </w:rPr>
            </w:pPr>
            <w:r w:rsidRPr="00AA7901">
              <w:rPr>
                <w:rFonts w:cstheme="minorHAnsi"/>
                <w:b/>
                <w:sz w:val="24"/>
                <w:szCs w:val="24"/>
              </w:rPr>
              <w:t>Reports to:</w:t>
            </w:r>
          </w:p>
          <w:p w14:paraId="5D7D53A9" w14:textId="149699FF" w:rsidR="00F74E4C" w:rsidRPr="00AA7901" w:rsidRDefault="00F74E4C" w:rsidP="005A6590">
            <w:pPr>
              <w:rPr>
                <w:rFonts w:cstheme="minorHAnsi"/>
                <w:sz w:val="24"/>
                <w:szCs w:val="24"/>
              </w:rPr>
            </w:pPr>
            <w:r w:rsidRPr="00AA7901">
              <w:rPr>
                <w:rFonts w:cstheme="minorHAnsi"/>
                <w:sz w:val="24"/>
                <w:szCs w:val="24"/>
              </w:rPr>
              <w:t>Duty manager</w:t>
            </w:r>
          </w:p>
          <w:p w14:paraId="54E56037" w14:textId="77777777" w:rsidR="00F123FB" w:rsidRPr="00AA7901" w:rsidRDefault="00F123FB" w:rsidP="005A6590">
            <w:pPr>
              <w:rPr>
                <w:rFonts w:cstheme="minorHAnsi"/>
                <w:sz w:val="24"/>
                <w:szCs w:val="24"/>
              </w:rPr>
            </w:pPr>
          </w:p>
          <w:p w14:paraId="54E5603A" w14:textId="77777777" w:rsidR="00AB5C7F" w:rsidRPr="00AA7901" w:rsidRDefault="00AB5C7F" w:rsidP="00D848CA">
            <w:pPr>
              <w:pStyle w:val="ListParagraph"/>
              <w:spacing w:after="0"/>
              <w:ind w:left="317"/>
              <w:rPr>
                <w:rFonts w:asciiTheme="minorHAnsi" w:hAnsiTheme="minorHAnsi" w:cstheme="minorHAnsi"/>
                <w:sz w:val="24"/>
                <w:szCs w:val="24"/>
              </w:rPr>
            </w:pPr>
          </w:p>
        </w:tc>
      </w:tr>
      <w:tr w:rsidR="00F123FB" w:rsidRPr="00AA7901" w14:paraId="54E56042" w14:textId="77777777" w:rsidTr="00F123FB">
        <w:tc>
          <w:tcPr>
            <w:tcW w:w="10632" w:type="dxa"/>
            <w:gridSpan w:val="2"/>
            <w:vMerge/>
          </w:tcPr>
          <w:p w14:paraId="54E5603C" w14:textId="77777777" w:rsidR="00F123FB" w:rsidRPr="00AA7901" w:rsidRDefault="00F123FB" w:rsidP="005A6590">
            <w:pPr>
              <w:rPr>
                <w:rFonts w:cstheme="minorHAnsi"/>
                <w:sz w:val="24"/>
                <w:szCs w:val="24"/>
              </w:rPr>
            </w:pPr>
          </w:p>
        </w:tc>
        <w:tc>
          <w:tcPr>
            <w:tcW w:w="4252" w:type="dxa"/>
          </w:tcPr>
          <w:p w14:paraId="54E5603D" w14:textId="77777777" w:rsidR="00F123FB" w:rsidRPr="00AA7901" w:rsidRDefault="00F123FB" w:rsidP="005A6590">
            <w:pPr>
              <w:rPr>
                <w:rFonts w:cstheme="minorHAnsi"/>
                <w:b/>
                <w:sz w:val="24"/>
                <w:szCs w:val="24"/>
              </w:rPr>
            </w:pPr>
            <w:r w:rsidRPr="00AA7901">
              <w:rPr>
                <w:rFonts w:cstheme="minorHAnsi"/>
                <w:b/>
                <w:sz w:val="24"/>
                <w:szCs w:val="24"/>
              </w:rPr>
              <w:t xml:space="preserve">Working Relationships &amp; Contacts </w:t>
            </w:r>
          </w:p>
          <w:p w14:paraId="54E5603E" w14:textId="77777777" w:rsidR="00F123FB" w:rsidRPr="00AA7901" w:rsidRDefault="00F123FB" w:rsidP="005A6590">
            <w:pPr>
              <w:rPr>
                <w:rFonts w:cstheme="minorHAnsi"/>
                <w:sz w:val="24"/>
                <w:szCs w:val="24"/>
              </w:rPr>
            </w:pPr>
          </w:p>
          <w:p w14:paraId="709E791E" w14:textId="77777777" w:rsidR="00F74E4C" w:rsidRPr="00AA7901" w:rsidRDefault="00F74E4C" w:rsidP="005A6590">
            <w:pPr>
              <w:rPr>
                <w:rFonts w:cstheme="minorHAnsi"/>
                <w:sz w:val="24"/>
                <w:szCs w:val="24"/>
              </w:rPr>
            </w:pPr>
          </w:p>
          <w:p w14:paraId="15BC790D" w14:textId="77777777" w:rsidR="002E5F0F" w:rsidRPr="00AA7901" w:rsidRDefault="002E5F0F" w:rsidP="002E5F0F">
            <w:pPr>
              <w:rPr>
                <w:rFonts w:cstheme="minorHAnsi"/>
              </w:rPr>
            </w:pPr>
            <w:r w:rsidRPr="00AA7901">
              <w:rPr>
                <w:rFonts w:cstheme="minorHAnsi"/>
              </w:rPr>
              <w:t>Liaise with all levels of staff in an appropriate manner to maintain a good working relationship between the Sterile Services Department and all service users.</w:t>
            </w:r>
          </w:p>
          <w:p w14:paraId="54E56041" w14:textId="77777777" w:rsidR="00F123FB" w:rsidRPr="00AA7901" w:rsidRDefault="00F123FB" w:rsidP="00D848CA">
            <w:pPr>
              <w:jc w:val="both"/>
              <w:rPr>
                <w:rFonts w:cstheme="minorHAnsi"/>
                <w:sz w:val="24"/>
                <w:szCs w:val="24"/>
              </w:rPr>
            </w:pPr>
          </w:p>
        </w:tc>
      </w:tr>
      <w:tr w:rsidR="00F123FB" w:rsidRPr="00AA7901" w14:paraId="54E56045" w14:textId="77777777" w:rsidTr="00F123FB">
        <w:tc>
          <w:tcPr>
            <w:tcW w:w="10632" w:type="dxa"/>
            <w:gridSpan w:val="2"/>
            <w:shd w:val="clear" w:color="auto" w:fill="BFBFBF" w:themeFill="background1" w:themeFillShade="BF"/>
          </w:tcPr>
          <w:p w14:paraId="54E56043" w14:textId="77777777" w:rsidR="00F123FB" w:rsidRPr="00AA7901" w:rsidRDefault="00F123FB" w:rsidP="005A6590">
            <w:pPr>
              <w:rPr>
                <w:rFonts w:cstheme="minorHAnsi"/>
                <w:b/>
                <w:sz w:val="24"/>
                <w:szCs w:val="24"/>
              </w:rPr>
            </w:pPr>
            <w:r w:rsidRPr="00AA7901">
              <w:rPr>
                <w:rFonts w:cstheme="minorHAnsi"/>
                <w:b/>
                <w:sz w:val="24"/>
                <w:szCs w:val="24"/>
              </w:rPr>
              <w:t>Key Responsibilities</w:t>
            </w:r>
          </w:p>
        </w:tc>
        <w:tc>
          <w:tcPr>
            <w:tcW w:w="4252" w:type="dxa"/>
            <w:shd w:val="clear" w:color="auto" w:fill="BFBFBF" w:themeFill="background1" w:themeFillShade="BF"/>
          </w:tcPr>
          <w:p w14:paraId="54E56044" w14:textId="77777777" w:rsidR="00F123FB" w:rsidRPr="00AA7901" w:rsidRDefault="00F123FB" w:rsidP="005A6590">
            <w:pPr>
              <w:rPr>
                <w:rFonts w:cstheme="minorHAnsi"/>
                <w:sz w:val="24"/>
                <w:szCs w:val="24"/>
              </w:rPr>
            </w:pPr>
          </w:p>
        </w:tc>
      </w:tr>
      <w:tr w:rsidR="00F123FB" w:rsidRPr="00AA7901" w14:paraId="54E56066" w14:textId="77777777" w:rsidTr="00F123FB">
        <w:tc>
          <w:tcPr>
            <w:tcW w:w="14884" w:type="dxa"/>
            <w:gridSpan w:val="3"/>
          </w:tcPr>
          <w:p w14:paraId="03282B63" w14:textId="77777777" w:rsidR="00F74E4C" w:rsidRPr="00AA7901" w:rsidRDefault="00F74E4C" w:rsidP="00F74E4C">
            <w:pPr>
              <w:numPr>
                <w:ilvl w:val="0"/>
                <w:numId w:val="17"/>
              </w:numPr>
              <w:jc w:val="both"/>
              <w:rPr>
                <w:rFonts w:cstheme="minorHAnsi"/>
              </w:rPr>
            </w:pPr>
            <w:r w:rsidRPr="00AA7901">
              <w:rPr>
                <w:rFonts w:cstheme="minorHAnsi"/>
              </w:rPr>
              <w:t>Disassemble and check instrumentation in preparation for the decontamination process.</w:t>
            </w:r>
          </w:p>
          <w:p w14:paraId="37151D34" w14:textId="77777777" w:rsidR="00F74E4C" w:rsidRPr="00AA7901" w:rsidRDefault="00F74E4C" w:rsidP="00F74E4C">
            <w:pPr>
              <w:ind w:left="1440"/>
              <w:jc w:val="both"/>
              <w:rPr>
                <w:rFonts w:cstheme="minorHAnsi"/>
              </w:rPr>
            </w:pPr>
          </w:p>
          <w:p w14:paraId="400E1C20" w14:textId="77777777" w:rsidR="00F74E4C" w:rsidRPr="00AA7901" w:rsidRDefault="00F74E4C" w:rsidP="00F74E4C">
            <w:pPr>
              <w:numPr>
                <w:ilvl w:val="0"/>
                <w:numId w:val="17"/>
              </w:numPr>
              <w:jc w:val="both"/>
              <w:rPr>
                <w:rFonts w:cstheme="minorHAnsi"/>
              </w:rPr>
            </w:pPr>
            <w:r w:rsidRPr="00AA7901">
              <w:rPr>
                <w:rFonts w:cstheme="minorHAnsi"/>
              </w:rPr>
              <w:t>Identify and record missing/broken instruments upon their return to the department.</w:t>
            </w:r>
          </w:p>
          <w:p w14:paraId="270DC7B1" w14:textId="77777777" w:rsidR="00F74E4C" w:rsidRPr="00AA7901" w:rsidRDefault="00F74E4C" w:rsidP="00027A36">
            <w:pPr>
              <w:jc w:val="both"/>
              <w:rPr>
                <w:rFonts w:cstheme="minorHAnsi"/>
              </w:rPr>
            </w:pPr>
          </w:p>
          <w:p w14:paraId="56B2951C" w14:textId="77777777" w:rsidR="00F74E4C" w:rsidRPr="00AA7901" w:rsidRDefault="00F74E4C" w:rsidP="00F74E4C">
            <w:pPr>
              <w:numPr>
                <w:ilvl w:val="0"/>
                <w:numId w:val="17"/>
              </w:numPr>
              <w:jc w:val="both"/>
              <w:rPr>
                <w:rFonts w:cstheme="minorHAnsi"/>
              </w:rPr>
            </w:pPr>
            <w:r w:rsidRPr="00AA7901">
              <w:rPr>
                <w:rFonts w:cstheme="minorHAnsi"/>
              </w:rPr>
              <w:t>Inspect and re-assemble instrumentation and materials into procedure sets according to the department’s procedure manual and job specifications.</w:t>
            </w:r>
          </w:p>
          <w:p w14:paraId="1C0F3BC6" w14:textId="77777777" w:rsidR="00F74E4C" w:rsidRPr="00AA7901" w:rsidRDefault="00F74E4C" w:rsidP="00F74E4C">
            <w:pPr>
              <w:numPr>
                <w:ilvl w:val="0"/>
                <w:numId w:val="17"/>
              </w:numPr>
              <w:jc w:val="both"/>
              <w:rPr>
                <w:rFonts w:cstheme="minorHAnsi"/>
              </w:rPr>
            </w:pPr>
            <w:r w:rsidRPr="00AA7901">
              <w:rPr>
                <w:rFonts w:cstheme="minorHAnsi"/>
              </w:rPr>
              <w:t>Operation of departmental machinery to clean, disinfect and sterilise surgical instruments, loading equipment in a safe and appropriate manner, and ensuring basic quality checks are completed at all stages.</w:t>
            </w:r>
          </w:p>
          <w:p w14:paraId="0F74E44A" w14:textId="77777777" w:rsidR="00F74E4C" w:rsidRPr="00AA7901" w:rsidRDefault="00F74E4C" w:rsidP="00F74E4C">
            <w:pPr>
              <w:ind w:left="1440"/>
              <w:jc w:val="both"/>
              <w:rPr>
                <w:rFonts w:cstheme="minorHAnsi"/>
              </w:rPr>
            </w:pPr>
          </w:p>
          <w:p w14:paraId="126697B1" w14:textId="77777777" w:rsidR="00F74E4C" w:rsidRPr="00AA7901" w:rsidRDefault="00F74E4C" w:rsidP="00F74E4C">
            <w:pPr>
              <w:numPr>
                <w:ilvl w:val="0"/>
                <w:numId w:val="17"/>
              </w:numPr>
              <w:jc w:val="both"/>
              <w:rPr>
                <w:rFonts w:cstheme="minorHAnsi"/>
              </w:rPr>
            </w:pPr>
            <w:r w:rsidRPr="00AA7901">
              <w:rPr>
                <w:rFonts w:cstheme="minorHAnsi"/>
              </w:rPr>
              <w:t>Operation of the department’s electronic tracking system to log and track instruments into, through and out of the department.</w:t>
            </w:r>
          </w:p>
          <w:p w14:paraId="04D62C9C" w14:textId="77777777" w:rsidR="00F74E4C" w:rsidRPr="00AA7901" w:rsidRDefault="00F74E4C" w:rsidP="00F74E4C">
            <w:pPr>
              <w:ind w:left="1440"/>
              <w:jc w:val="both"/>
              <w:rPr>
                <w:rFonts w:cstheme="minorHAnsi"/>
              </w:rPr>
            </w:pPr>
          </w:p>
          <w:p w14:paraId="2779FED7" w14:textId="77777777" w:rsidR="00F74E4C" w:rsidRPr="00AA7901" w:rsidRDefault="00F74E4C" w:rsidP="00F74E4C">
            <w:pPr>
              <w:numPr>
                <w:ilvl w:val="0"/>
                <w:numId w:val="17"/>
              </w:numPr>
              <w:jc w:val="both"/>
              <w:rPr>
                <w:rFonts w:cstheme="minorHAnsi"/>
              </w:rPr>
            </w:pPr>
            <w:r w:rsidRPr="00AA7901">
              <w:rPr>
                <w:rFonts w:cstheme="minorHAnsi"/>
              </w:rPr>
              <w:t>Collect/distribute instrument sets/procedure packs to theatres, wards and department as required.</w:t>
            </w:r>
          </w:p>
          <w:p w14:paraId="0E32515B" w14:textId="77777777" w:rsidR="00F74E4C" w:rsidRPr="00AA7901" w:rsidRDefault="00F74E4C" w:rsidP="00F74E4C">
            <w:pPr>
              <w:ind w:left="1440"/>
              <w:jc w:val="both"/>
              <w:rPr>
                <w:rFonts w:cstheme="minorHAnsi"/>
              </w:rPr>
            </w:pPr>
          </w:p>
          <w:p w14:paraId="3B67BBF8" w14:textId="77777777" w:rsidR="00F74E4C" w:rsidRPr="00AA7901" w:rsidRDefault="00F74E4C" w:rsidP="00F74E4C">
            <w:pPr>
              <w:numPr>
                <w:ilvl w:val="0"/>
                <w:numId w:val="17"/>
              </w:numPr>
              <w:jc w:val="both"/>
              <w:rPr>
                <w:rFonts w:cstheme="minorHAnsi"/>
              </w:rPr>
            </w:pPr>
            <w:r w:rsidRPr="00AA7901">
              <w:rPr>
                <w:rFonts w:cstheme="minorHAnsi"/>
              </w:rPr>
              <w:t>Ensure all working areas are kept clean, tidy and organised.</w:t>
            </w:r>
          </w:p>
          <w:p w14:paraId="15A2DD82" w14:textId="77777777" w:rsidR="00F74E4C" w:rsidRPr="00AA7901" w:rsidRDefault="00F74E4C" w:rsidP="00F74E4C">
            <w:pPr>
              <w:ind w:left="1440"/>
              <w:jc w:val="both"/>
              <w:rPr>
                <w:rFonts w:cstheme="minorHAnsi"/>
              </w:rPr>
            </w:pPr>
          </w:p>
          <w:p w14:paraId="2418717C" w14:textId="77777777" w:rsidR="00F74E4C" w:rsidRPr="00AA7901" w:rsidRDefault="00F74E4C" w:rsidP="00F74E4C">
            <w:pPr>
              <w:numPr>
                <w:ilvl w:val="0"/>
                <w:numId w:val="17"/>
              </w:numPr>
              <w:jc w:val="both"/>
              <w:rPr>
                <w:rFonts w:cstheme="minorHAnsi"/>
              </w:rPr>
            </w:pPr>
            <w:r w:rsidRPr="00AA7901">
              <w:rPr>
                <w:rFonts w:cstheme="minorHAnsi"/>
              </w:rPr>
              <w:t xml:space="preserve">Undertake regular and routine cleaning of the department, </w:t>
            </w:r>
            <w:proofErr w:type="spellStart"/>
            <w:r w:rsidRPr="00AA7901">
              <w:rPr>
                <w:rFonts w:cstheme="minorHAnsi"/>
              </w:rPr>
              <w:t>ie</w:t>
            </w:r>
            <w:proofErr w:type="spellEnd"/>
            <w:r w:rsidRPr="00AA7901">
              <w:rPr>
                <w:rFonts w:cstheme="minorHAnsi"/>
              </w:rPr>
              <w:t xml:space="preserve"> autoclaves, washer/disinfectors, work stations, trolleys and other equipment as appropriate.</w:t>
            </w:r>
          </w:p>
          <w:p w14:paraId="58C670CC" w14:textId="77777777" w:rsidR="00F74E4C" w:rsidRPr="00AA7901" w:rsidRDefault="00F74E4C" w:rsidP="00F74E4C">
            <w:pPr>
              <w:ind w:left="1440"/>
              <w:jc w:val="both"/>
              <w:rPr>
                <w:rFonts w:cstheme="minorHAnsi"/>
              </w:rPr>
            </w:pPr>
          </w:p>
          <w:p w14:paraId="4FE21847" w14:textId="77777777" w:rsidR="00F74E4C" w:rsidRPr="00AA7901" w:rsidRDefault="00F74E4C" w:rsidP="00F74E4C">
            <w:pPr>
              <w:numPr>
                <w:ilvl w:val="0"/>
                <w:numId w:val="17"/>
              </w:numPr>
              <w:jc w:val="both"/>
              <w:rPr>
                <w:rFonts w:cstheme="minorHAnsi"/>
              </w:rPr>
            </w:pPr>
            <w:r w:rsidRPr="00AA7901">
              <w:rPr>
                <w:rFonts w:cstheme="minorHAnsi"/>
              </w:rPr>
              <w:t>Comply with all departmental quality assurance, health &amp; safety, moving and handling and COSHH procedures and process control instructions.</w:t>
            </w:r>
          </w:p>
          <w:p w14:paraId="2FCA314A" w14:textId="77777777" w:rsidR="00F74E4C" w:rsidRPr="00AA7901" w:rsidRDefault="00F74E4C" w:rsidP="00F74E4C">
            <w:pPr>
              <w:ind w:left="1440"/>
              <w:jc w:val="both"/>
              <w:rPr>
                <w:rFonts w:cstheme="minorHAnsi"/>
              </w:rPr>
            </w:pPr>
          </w:p>
          <w:p w14:paraId="7AD1A105" w14:textId="77777777" w:rsidR="00F74E4C" w:rsidRPr="00AA7901" w:rsidRDefault="00F74E4C" w:rsidP="00F74E4C">
            <w:pPr>
              <w:numPr>
                <w:ilvl w:val="0"/>
                <w:numId w:val="17"/>
              </w:numPr>
              <w:jc w:val="both"/>
              <w:rPr>
                <w:rFonts w:cstheme="minorHAnsi"/>
              </w:rPr>
            </w:pPr>
            <w:r w:rsidRPr="00AA7901">
              <w:rPr>
                <w:rFonts w:cstheme="minorHAnsi"/>
              </w:rPr>
              <w:t>Provide an out of hour’s service and support weekend work when required.</w:t>
            </w:r>
          </w:p>
          <w:p w14:paraId="571B4569" w14:textId="77777777" w:rsidR="00F74E4C" w:rsidRPr="00AA7901" w:rsidRDefault="00F74E4C" w:rsidP="00F74E4C">
            <w:pPr>
              <w:ind w:left="1440"/>
              <w:jc w:val="both"/>
              <w:rPr>
                <w:rFonts w:cstheme="minorHAnsi"/>
              </w:rPr>
            </w:pPr>
          </w:p>
          <w:p w14:paraId="54E56046" w14:textId="771F5296" w:rsidR="009C7FEC" w:rsidRPr="00AA7901" w:rsidRDefault="00F74E4C" w:rsidP="005A6590">
            <w:pPr>
              <w:numPr>
                <w:ilvl w:val="0"/>
                <w:numId w:val="17"/>
              </w:numPr>
              <w:jc w:val="both"/>
              <w:rPr>
                <w:rFonts w:eastAsia="Calibri" w:cstheme="minorHAnsi"/>
              </w:rPr>
            </w:pPr>
            <w:r w:rsidRPr="00AA7901">
              <w:rPr>
                <w:rFonts w:cstheme="minorHAnsi"/>
              </w:rPr>
              <w:t>Contribute towards process improvement ideas for the department.</w:t>
            </w:r>
          </w:p>
          <w:p w14:paraId="54E56065" w14:textId="77777777" w:rsidR="00F123FB" w:rsidRPr="00AA7901" w:rsidRDefault="00F123FB" w:rsidP="00D848CA">
            <w:pPr>
              <w:rPr>
                <w:rFonts w:cstheme="minorHAnsi"/>
                <w:sz w:val="24"/>
                <w:szCs w:val="24"/>
              </w:rPr>
            </w:pPr>
          </w:p>
        </w:tc>
      </w:tr>
      <w:tr w:rsidR="00F123FB" w:rsidRPr="00AA7901" w14:paraId="54E5606A" w14:textId="77777777" w:rsidTr="00F123FB">
        <w:tc>
          <w:tcPr>
            <w:tcW w:w="10632" w:type="dxa"/>
            <w:gridSpan w:val="2"/>
            <w:shd w:val="clear" w:color="auto" w:fill="BFBFBF" w:themeFill="background1" w:themeFillShade="BF"/>
          </w:tcPr>
          <w:p w14:paraId="54E56067" w14:textId="77777777" w:rsidR="00F123FB" w:rsidRPr="00AA7901" w:rsidRDefault="00F123FB" w:rsidP="005A6590">
            <w:pPr>
              <w:rPr>
                <w:rFonts w:cstheme="minorHAnsi"/>
                <w:b/>
                <w:sz w:val="24"/>
                <w:szCs w:val="24"/>
              </w:rPr>
            </w:pPr>
            <w:r w:rsidRPr="00AA7901">
              <w:rPr>
                <w:rFonts w:cstheme="minorHAnsi"/>
                <w:b/>
                <w:sz w:val="24"/>
                <w:szCs w:val="24"/>
              </w:rPr>
              <w:lastRenderedPageBreak/>
              <w:t>Job Dimensions:</w:t>
            </w:r>
          </w:p>
          <w:p w14:paraId="54E56068" w14:textId="77777777" w:rsidR="00F123FB" w:rsidRPr="00AA7901" w:rsidRDefault="00F123FB" w:rsidP="005A6590">
            <w:pPr>
              <w:rPr>
                <w:rFonts w:cstheme="minorHAnsi"/>
                <w:sz w:val="24"/>
                <w:szCs w:val="24"/>
              </w:rPr>
            </w:pPr>
            <w:r w:rsidRPr="00AA7901">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54E56069" w14:textId="77777777" w:rsidR="00F123FB" w:rsidRPr="00AA7901" w:rsidRDefault="00F123FB" w:rsidP="005A6590">
            <w:pPr>
              <w:rPr>
                <w:rFonts w:cstheme="minorHAnsi"/>
                <w:b/>
                <w:sz w:val="24"/>
                <w:szCs w:val="24"/>
              </w:rPr>
            </w:pPr>
            <w:r w:rsidRPr="00AA7901">
              <w:rPr>
                <w:rFonts w:cstheme="minorHAnsi"/>
                <w:b/>
                <w:sz w:val="24"/>
                <w:szCs w:val="24"/>
              </w:rPr>
              <w:t>Performance measures and KPIs</w:t>
            </w:r>
          </w:p>
        </w:tc>
      </w:tr>
      <w:tr w:rsidR="00F123FB" w:rsidRPr="00AA7901" w14:paraId="54E56077" w14:textId="77777777" w:rsidTr="00F123FB">
        <w:tc>
          <w:tcPr>
            <w:tcW w:w="10632" w:type="dxa"/>
            <w:gridSpan w:val="2"/>
          </w:tcPr>
          <w:p w14:paraId="35FAAD7A" w14:textId="77777777" w:rsidR="006E156E" w:rsidRPr="00AA7901" w:rsidRDefault="006E156E" w:rsidP="006E156E">
            <w:pPr>
              <w:spacing w:after="200" w:line="276" w:lineRule="auto"/>
              <w:jc w:val="both"/>
              <w:rPr>
                <w:rFonts w:eastAsia="Calibri" w:cstheme="minorHAnsi"/>
              </w:rPr>
            </w:pPr>
            <w:r w:rsidRPr="00AA7901">
              <w:rPr>
                <w:rFonts w:eastAsia="Calibri" w:cstheme="minorHAnsi"/>
              </w:rPr>
              <w:t>The safe collection and handling of potentially infected surgical instrumentation prior to decontamination.</w:t>
            </w:r>
          </w:p>
          <w:p w14:paraId="6CDDE4AE" w14:textId="77777777" w:rsidR="006E156E" w:rsidRPr="00AA7901" w:rsidRDefault="006E156E" w:rsidP="006E156E">
            <w:pPr>
              <w:spacing w:after="200" w:line="276" w:lineRule="auto"/>
              <w:jc w:val="both"/>
              <w:rPr>
                <w:rFonts w:eastAsia="Calibri" w:cstheme="minorHAnsi"/>
              </w:rPr>
            </w:pPr>
            <w:r w:rsidRPr="00AA7901">
              <w:rPr>
                <w:rFonts w:eastAsia="Calibri" w:cstheme="minorHAnsi"/>
              </w:rPr>
              <w:t>Carrying out the decontamination process of preparation, cleaning, disinfection and sterilization of surgical instrumentation.  Re-distributing the decontaminated instrument sets and procedure packs to operating theatres, hospital departments and external customers.</w:t>
            </w:r>
          </w:p>
          <w:p w14:paraId="54E5606B" w14:textId="179ACC5E" w:rsidR="00F123FB" w:rsidRPr="00AA7901" w:rsidRDefault="006E156E" w:rsidP="006E156E">
            <w:pPr>
              <w:rPr>
                <w:rFonts w:cstheme="minorHAnsi"/>
                <w:sz w:val="24"/>
                <w:szCs w:val="24"/>
              </w:rPr>
            </w:pPr>
            <w:r w:rsidRPr="00AA7901">
              <w:rPr>
                <w:rFonts w:eastAsia="Calibri" w:cstheme="minorHAnsi"/>
              </w:rPr>
              <w:t>Observation of departmental work instructions, procedures, regulations and guidelines with regard to the Sterile Services Quality Management System.</w:t>
            </w:r>
          </w:p>
          <w:p w14:paraId="54E56074" w14:textId="77777777" w:rsidR="0099444F" w:rsidRPr="00AA7901" w:rsidRDefault="0099444F" w:rsidP="00D848CA">
            <w:pPr>
              <w:rPr>
                <w:rFonts w:cstheme="minorHAnsi"/>
                <w:sz w:val="24"/>
                <w:szCs w:val="24"/>
              </w:rPr>
            </w:pPr>
          </w:p>
        </w:tc>
        <w:tc>
          <w:tcPr>
            <w:tcW w:w="4252" w:type="dxa"/>
          </w:tcPr>
          <w:p w14:paraId="54E56075" w14:textId="77777777" w:rsidR="00F123FB" w:rsidRPr="00AA7901" w:rsidRDefault="00F123FB" w:rsidP="00AB5C7F">
            <w:pPr>
              <w:pStyle w:val="ListParagraph"/>
              <w:spacing w:after="0"/>
              <w:ind w:left="175"/>
              <w:rPr>
                <w:rFonts w:asciiTheme="minorHAnsi" w:hAnsiTheme="minorHAnsi" w:cstheme="minorHAnsi"/>
                <w:sz w:val="24"/>
                <w:szCs w:val="24"/>
              </w:rPr>
            </w:pPr>
          </w:p>
          <w:p w14:paraId="54E56076" w14:textId="77777777" w:rsidR="00377572" w:rsidRPr="00AA7901" w:rsidRDefault="00377572" w:rsidP="00AB5C7F">
            <w:pPr>
              <w:pStyle w:val="ListParagraph"/>
              <w:spacing w:after="0"/>
              <w:ind w:left="175"/>
              <w:rPr>
                <w:rFonts w:asciiTheme="minorHAnsi" w:hAnsiTheme="minorHAnsi" w:cstheme="minorHAnsi"/>
                <w:sz w:val="24"/>
                <w:szCs w:val="24"/>
              </w:rPr>
            </w:pPr>
            <w:r w:rsidRPr="00AA7901">
              <w:rPr>
                <w:rFonts w:asciiTheme="minorHAnsi" w:hAnsiTheme="minorHAnsi" w:cstheme="minorHAnsi"/>
                <w:sz w:val="24"/>
                <w:szCs w:val="24"/>
              </w:rPr>
              <w:t>KPI target scores</w:t>
            </w:r>
          </w:p>
        </w:tc>
      </w:tr>
      <w:tr w:rsidR="00F123FB" w:rsidRPr="00AA7901" w14:paraId="54E560AF" w14:textId="77777777" w:rsidTr="00F123FB">
        <w:tc>
          <w:tcPr>
            <w:tcW w:w="5221" w:type="dxa"/>
            <w:shd w:val="clear" w:color="auto" w:fill="BFBFBF" w:themeFill="background1" w:themeFillShade="BF"/>
          </w:tcPr>
          <w:p w14:paraId="54E5608A" w14:textId="77777777" w:rsidR="006E1AE2" w:rsidRPr="00AA7901" w:rsidRDefault="00F123FB" w:rsidP="005A6590">
            <w:pPr>
              <w:rPr>
                <w:rFonts w:cstheme="minorHAnsi"/>
                <w:sz w:val="24"/>
                <w:szCs w:val="24"/>
              </w:rPr>
            </w:pPr>
            <w:r w:rsidRPr="00AA7901">
              <w:rPr>
                <w:rFonts w:cstheme="minorHAnsi"/>
                <w:sz w:val="24"/>
                <w:szCs w:val="24"/>
              </w:rPr>
              <w:t>Core Behavi</w:t>
            </w:r>
            <w:r w:rsidR="005112DC" w:rsidRPr="00AA7901">
              <w:rPr>
                <w:rFonts w:cstheme="minorHAnsi"/>
                <w:sz w:val="24"/>
                <w:szCs w:val="24"/>
              </w:rPr>
              <w:t>ours</w:t>
            </w:r>
          </w:p>
          <w:p w14:paraId="54E5608B" w14:textId="77777777" w:rsidR="00F123FB" w:rsidRPr="00AA7901" w:rsidRDefault="00F123FB" w:rsidP="005A6590">
            <w:pPr>
              <w:rPr>
                <w:rFonts w:cstheme="minorHAnsi"/>
                <w:sz w:val="24"/>
                <w:szCs w:val="24"/>
              </w:rPr>
            </w:pPr>
          </w:p>
          <w:p w14:paraId="54E5608C" w14:textId="77777777" w:rsidR="00F123FB" w:rsidRPr="00AA7901" w:rsidRDefault="00F123FB" w:rsidP="005A6590">
            <w:pPr>
              <w:rPr>
                <w:rFonts w:cstheme="minorHAnsi"/>
                <w:sz w:val="24"/>
                <w:szCs w:val="24"/>
              </w:rPr>
            </w:pPr>
          </w:p>
          <w:p w14:paraId="54E5608D" w14:textId="77777777" w:rsidR="00F123FB" w:rsidRPr="00AA7901" w:rsidRDefault="00F123FB" w:rsidP="005A6590">
            <w:pPr>
              <w:rPr>
                <w:rFonts w:cstheme="minorHAnsi"/>
                <w:sz w:val="24"/>
                <w:szCs w:val="24"/>
              </w:rPr>
            </w:pPr>
          </w:p>
          <w:p w14:paraId="54E5608E" w14:textId="77777777" w:rsidR="00F123FB" w:rsidRPr="00AA7901" w:rsidRDefault="00F123FB" w:rsidP="005A6590">
            <w:pPr>
              <w:rPr>
                <w:rFonts w:cstheme="minorHAnsi"/>
                <w:sz w:val="24"/>
                <w:szCs w:val="24"/>
              </w:rPr>
            </w:pPr>
          </w:p>
        </w:tc>
        <w:tc>
          <w:tcPr>
            <w:tcW w:w="9663" w:type="dxa"/>
            <w:gridSpan w:val="2"/>
          </w:tcPr>
          <w:p w14:paraId="54E5608F"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Patients, public and staff have helped develop the Trusts’ Behaviours Framework of Values that inspire passion in the NHS and that should underpin everything it does. The NHS values provide common ground for co-operation to achieve shared aspirations, at all levels of the NHS. The post holder is required to commit to delivering the actions in the Trust’s Behaviours Framework:</w:t>
            </w:r>
          </w:p>
          <w:p w14:paraId="54E56090" w14:textId="77777777" w:rsidR="00C153C4" w:rsidRPr="00AA7901" w:rsidRDefault="00C153C4" w:rsidP="00C153C4">
            <w:pPr>
              <w:pStyle w:val="NoSpacing"/>
              <w:ind w:firstLine="720"/>
              <w:rPr>
                <w:rFonts w:asciiTheme="minorHAnsi" w:hAnsiTheme="minorHAnsi" w:cstheme="minorHAnsi"/>
                <w:sz w:val="24"/>
                <w:szCs w:val="24"/>
              </w:rPr>
            </w:pPr>
          </w:p>
          <w:p w14:paraId="54E56091" w14:textId="77777777" w:rsidR="00C153C4" w:rsidRPr="00AA7901" w:rsidRDefault="00C153C4" w:rsidP="00C153C4">
            <w:pPr>
              <w:pStyle w:val="NoSpacing"/>
              <w:rPr>
                <w:rFonts w:asciiTheme="minorHAnsi" w:hAnsiTheme="minorHAnsi" w:cstheme="minorHAnsi"/>
                <w:b/>
                <w:sz w:val="24"/>
                <w:szCs w:val="24"/>
              </w:rPr>
            </w:pPr>
            <w:r w:rsidRPr="00AA7901">
              <w:rPr>
                <w:rFonts w:asciiTheme="minorHAnsi" w:hAnsiTheme="minorHAnsi" w:cstheme="minorHAnsi"/>
                <w:b/>
                <w:sz w:val="24"/>
                <w:szCs w:val="24"/>
              </w:rPr>
              <w:t>Working together for patients</w:t>
            </w:r>
          </w:p>
          <w:p w14:paraId="54E56092" w14:textId="77777777" w:rsidR="00C153C4" w:rsidRPr="00AA7901" w:rsidRDefault="00C153C4" w:rsidP="00C153C4">
            <w:pPr>
              <w:pStyle w:val="NoSpacing"/>
              <w:ind w:left="720"/>
              <w:rPr>
                <w:rFonts w:asciiTheme="minorHAnsi" w:hAnsiTheme="minorHAnsi" w:cstheme="minorHAnsi"/>
                <w:b/>
                <w:sz w:val="24"/>
                <w:szCs w:val="24"/>
              </w:rPr>
            </w:pPr>
          </w:p>
          <w:p w14:paraId="54E56093"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54E56094" w14:textId="77777777" w:rsidR="00C153C4" w:rsidRPr="00AA7901" w:rsidRDefault="00C153C4" w:rsidP="00C153C4">
            <w:pPr>
              <w:pStyle w:val="NoSpacing"/>
              <w:rPr>
                <w:rFonts w:asciiTheme="minorHAnsi" w:hAnsiTheme="minorHAnsi" w:cstheme="minorHAnsi"/>
                <w:sz w:val="24"/>
                <w:szCs w:val="24"/>
              </w:rPr>
            </w:pPr>
          </w:p>
          <w:p w14:paraId="54E56095"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Respect and Dignity</w:t>
            </w:r>
            <w:r w:rsidRPr="00AA7901">
              <w:rPr>
                <w:rFonts w:asciiTheme="minorHAnsi" w:hAnsiTheme="minorHAnsi" w:cstheme="minorHAnsi"/>
                <w:sz w:val="24"/>
                <w:szCs w:val="24"/>
              </w:rPr>
              <w:t xml:space="preserve">. </w:t>
            </w:r>
          </w:p>
          <w:p w14:paraId="54E56096" w14:textId="77777777" w:rsidR="00C153C4" w:rsidRPr="00AA7901" w:rsidRDefault="00C153C4" w:rsidP="00C153C4">
            <w:pPr>
              <w:pStyle w:val="NoSpacing"/>
              <w:ind w:left="720"/>
              <w:rPr>
                <w:rFonts w:asciiTheme="minorHAnsi" w:hAnsiTheme="minorHAnsi" w:cstheme="minorHAnsi"/>
                <w:sz w:val="24"/>
                <w:szCs w:val="24"/>
              </w:rPr>
            </w:pPr>
          </w:p>
          <w:p w14:paraId="54E56097"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54E56098" w14:textId="77777777" w:rsidR="00C153C4" w:rsidRPr="00AA7901" w:rsidRDefault="00C153C4" w:rsidP="00C153C4">
            <w:pPr>
              <w:pStyle w:val="NoSpacing"/>
              <w:rPr>
                <w:rFonts w:asciiTheme="minorHAnsi" w:hAnsiTheme="minorHAnsi" w:cstheme="minorHAnsi"/>
                <w:sz w:val="24"/>
                <w:szCs w:val="24"/>
              </w:rPr>
            </w:pPr>
          </w:p>
          <w:p w14:paraId="54E56099"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Commitment to quality of care</w:t>
            </w:r>
            <w:r w:rsidRPr="00AA7901">
              <w:rPr>
                <w:rFonts w:asciiTheme="minorHAnsi" w:hAnsiTheme="minorHAnsi" w:cstheme="minorHAnsi"/>
                <w:sz w:val="24"/>
                <w:szCs w:val="24"/>
              </w:rPr>
              <w:t>.</w:t>
            </w:r>
          </w:p>
          <w:p w14:paraId="54E5609A"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 xml:space="preserve"> </w:t>
            </w:r>
          </w:p>
          <w:p w14:paraId="54E5609B"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54E5609C" w14:textId="77777777" w:rsidR="00C153C4" w:rsidRPr="00AA7901" w:rsidRDefault="00C153C4" w:rsidP="00C153C4">
            <w:pPr>
              <w:pStyle w:val="NoSpacing"/>
              <w:rPr>
                <w:rFonts w:asciiTheme="minorHAnsi" w:hAnsiTheme="minorHAnsi" w:cstheme="minorHAnsi"/>
                <w:sz w:val="24"/>
                <w:szCs w:val="24"/>
              </w:rPr>
            </w:pPr>
          </w:p>
          <w:p w14:paraId="54E5609D"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Compassion</w:t>
            </w:r>
            <w:r w:rsidRPr="00AA7901">
              <w:rPr>
                <w:rFonts w:asciiTheme="minorHAnsi" w:hAnsiTheme="minorHAnsi" w:cstheme="minorHAnsi"/>
                <w:sz w:val="24"/>
                <w:szCs w:val="24"/>
              </w:rPr>
              <w:t xml:space="preserve">. </w:t>
            </w:r>
          </w:p>
          <w:p w14:paraId="54E5609E" w14:textId="77777777" w:rsidR="00C153C4" w:rsidRPr="00AA7901" w:rsidRDefault="00C153C4" w:rsidP="00C153C4">
            <w:pPr>
              <w:pStyle w:val="NoSpacing"/>
              <w:ind w:left="720"/>
              <w:rPr>
                <w:rFonts w:asciiTheme="minorHAnsi" w:hAnsiTheme="minorHAnsi" w:cstheme="minorHAnsi"/>
                <w:sz w:val="24"/>
                <w:szCs w:val="24"/>
              </w:rPr>
            </w:pPr>
          </w:p>
          <w:p w14:paraId="54E5609F"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54E560A0" w14:textId="77777777" w:rsidR="00C153C4" w:rsidRPr="00AA7901" w:rsidRDefault="00C153C4" w:rsidP="00C153C4">
            <w:pPr>
              <w:pStyle w:val="NoSpacing"/>
              <w:rPr>
                <w:rFonts w:asciiTheme="minorHAnsi" w:hAnsiTheme="minorHAnsi" w:cstheme="minorHAnsi"/>
                <w:sz w:val="24"/>
                <w:szCs w:val="24"/>
              </w:rPr>
            </w:pPr>
          </w:p>
          <w:p w14:paraId="54E560A1"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Improving lives</w:t>
            </w:r>
            <w:r w:rsidRPr="00AA7901">
              <w:rPr>
                <w:rFonts w:asciiTheme="minorHAnsi" w:hAnsiTheme="minorHAnsi" w:cstheme="minorHAnsi"/>
                <w:sz w:val="24"/>
                <w:szCs w:val="24"/>
              </w:rPr>
              <w:t xml:space="preserve">. </w:t>
            </w:r>
          </w:p>
          <w:p w14:paraId="54E560A2" w14:textId="77777777" w:rsidR="00C153C4" w:rsidRPr="00AA7901" w:rsidRDefault="00C153C4" w:rsidP="00C153C4">
            <w:pPr>
              <w:pStyle w:val="NoSpacing"/>
              <w:ind w:left="720"/>
              <w:rPr>
                <w:rFonts w:asciiTheme="minorHAnsi" w:hAnsiTheme="minorHAnsi" w:cstheme="minorHAnsi"/>
                <w:sz w:val="24"/>
                <w:szCs w:val="24"/>
              </w:rPr>
            </w:pPr>
          </w:p>
          <w:p w14:paraId="54E560A3"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strive to improve health and wellbeing and people’s experiences of the NHS.</w:t>
            </w:r>
          </w:p>
          <w:p w14:paraId="54E560A4" w14:textId="77777777" w:rsidR="00C153C4" w:rsidRPr="00AA7901" w:rsidRDefault="00C153C4" w:rsidP="00C153C4">
            <w:pPr>
              <w:pStyle w:val="NoSpacing"/>
              <w:rPr>
                <w:rFonts w:asciiTheme="minorHAnsi" w:hAnsiTheme="minorHAnsi" w:cstheme="minorHAnsi"/>
                <w:sz w:val="24"/>
                <w:szCs w:val="24"/>
              </w:rPr>
            </w:pPr>
          </w:p>
          <w:p w14:paraId="54E560A5"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b/>
                <w:sz w:val="24"/>
                <w:szCs w:val="24"/>
              </w:rPr>
              <w:t>Everyone counts</w:t>
            </w:r>
            <w:r w:rsidRPr="00AA7901">
              <w:rPr>
                <w:rFonts w:asciiTheme="minorHAnsi" w:hAnsiTheme="minorHAnsi" w:cstheme="minorHAnsi"/>
                <w:sz w:val="24"/>
                <w:szCs w:val="24"/>
              </w:rPr>
              <w:t xml:space="preserve">. </w:t>
            </w:r>
          </w:p>
          <w:p w14:paraId="54E560A6" w14:textId="77777777" w:rsidR="00C153C4" w:rsidRPr="00AA7901" w:rsidRDefault="00C153C4" w:rsidP="00C153C4">
            <w:pPr>
              <w:pStyle w:val="NoSpacing"/>
              <w:ind w:left="720"/>
              <w:rPr>
                <w:rFonts w:asciiTheme="minorHAnsi" w:hAnsiTheme="minorHAnsi" w:cstheme="minorHAnsi"/>
                <w:sz w:val="24"/>
                <w:szCs w:val="24"/>
              </w:rPr>
            </w:pPr>
          </w:p>
          <w:p w14:paraId="54E560A7" w14:textId="77777777" w:rsidR="00C153C4" w:rsidRPr="00AA7901" w:rsidRDefault="00C153C4" w:rsidP="00C153C4">
            <w:pPr>
              <w:pStyle w:val="NoSpacing"/>
              <w:rPr>
                <w:rFonts w:asciiTheme="minorHAnsi" w:hAnsiTheme="minorHAnsi" w:cstheme="minorHAnsi"/>
                <w:sz w:val="24"/>
                <w:szCs w:val="24"/>
              </w:rPr>
            </w:pPr>
            <w:r w:rsidRPr="00AA7901">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54E560A8" w14:textId="77777777" w:rsidR="00C153C4" w:rsidRPr="00AA7901" w:rsidRDefault="00C153C4" w:rsidP="00C153C4">
            <w:pPr>
              <w:pStyle w:val="NoSpacing"/>
              <w:ind w:left="720"/>
              <w:rPr>
                <w:rFonts w:asciiTheme="minorHAnsi" w:eastAsia="Times New Roman" w:hAnsiTheme="minorHAnsi" w:cstheme="minorHAnsi"/>
                <w:sz w:val="24"/>
                <w:szCs w:val="24"/>
                <w:lang w:val="en-US"/>
              </w:rPr>
            </w:pPr>
            <w:r w:rsidRPr="00AA7901">
              <w:rPr>
                <w:rFonts w:asciiTheme="minorHAnsi" w:eastAsia="Times New Roman" w:hAnsiTheme="minorHAnsi" w:cstheme="minorHAnsi"/>
                <w:sz w:val="24"/>
                <w:szCs w:val="24"/>
                <w:lang w:val="en-US"/>
              </w:rPr>
              <w:object w:dxaOrig="1550" w:dyaOrig="991" w14:anchorId="54E56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0" o:title=""/>
                </v:shape>
                <o:OLEObject Type="Embed" ProgID="Word.Document.12" ShapeID="_x0000_i1025" DrawAspect="Icon" ObjectID="_1822544991" r:id="rId11">
                  <o:FieldCodes>\s</o:FieldCodes>
                </o:OLEObject>
              </w:object>
            </w:r>
          </w:p>
          <w:p w14:paraId="54E560A9" w14:textId="77777777" w:rsidR="00C153C4" w:rsidRPr="00AA7901" w:rsidRDefault="00C153C4" w:rsidP="00C153C4">
            <w:pPr>
              <w:jc w:val="both"/>
              <w:rPr>
                <w:rFonts w:eastAsia="Times New Roman" w:cstheme="minorHAnsi"/>
                <w:sz w:val="24"/>
                <w:szCs w:val="24"/>
                <w:lang w:val="en-US"/>
              </w:rPr>
            </w:pPr>
            <w:r w:rsidRPr="00AA7901">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54E560AA" w14:textId="77777777" w:rsidR="00C153C4" w:rsidRPr="00AA7901" w:rsidRDefault="00C153C4" w:rsidP="00C153C4">
            <w:pPr>
              <w:ind w:left="720"/>
              <w:jc w:val="both"/>
              <w:rPr>
                <w:rFonts w:eastAsia="Times New Roman" w:cstheme="minorHAnsi"/>
                <w:sz w:val="24"/>
                <w:szCs w:val="24"/>
                <w:lang w:val="en-US"/>
              </w:rPr>
            </w:pPr>
          </w:p>
          <w:p w14:paraId="54E560AB" w14:textId="77777777" w:rsidR="00C153C4" w:rsidRPr="00AA7901" w:rsidRDefault="00C153C4" w:rsidP="00C153C4">
            <w:pPr>
              <w:autoSpaceDE w:val="0"/>
              <w:autoSpaceDN w:val="0"/>
              <w:adjustRightInd w:val="0"/>
              <w:rPr>
                <w:rFonts w:cstheme="minorHAnsi"/>
                <w:b/>
                <w:sz w:val="24"/>
                <w:szCs w:val="24"/>
                <w:lang w:eastAsia="en-GB"/>
              </w:rPr>
            </w:pPr>
            <w:r w:rsidRPr="00AA7901">
              <w:rPr>
                <w:rFonts w:cstheme="minorHAnsi"/>
                <w:b/>
                <w:sz w:val="24"/>
                <w:szCs w:val="24"/>
                <w:lang w:eastAsia="en-GB"/>
              </w:rPr>
              <w:t>Duty of Candour</w:t>
            </w:r>
          </w:p>
          <w:p w14:paraId="54E560AC" w14:textId="77777777" w:rsidR="00C153C4" w:rsidRPr="00AA7901" w:rsidRDefault="00C153C4" w:rsidP="00C153C4">
            <w:pPr>
              <w:autoSpaceDE w:val="0"/>
              <w:autoSpaceDN w:val="0"/>
              <w:adjustRightInd w:val="0"/>
              <w:ind w:left="720"/>
              <w:rPr>
                <w:rFonts w:cstheme="minorHAnsi"/>
                <w:b/>
                <w:sz w:val="24"/>
                <w:szCs w:val="24"/>
                <w:lang w:eastAsia="en-GB"/>
              </w:rPr>
            </w:pPr>
          </w:p>
          <w:p w14:paraId="54E560AD" w14:textId="77777777" w:rsidR="00C153C4" w:rsidRPr="00AA7901" w:rsidRDefault="00C153C4" w:rsidP="00C153C4">
            <w:pPr>
              <w:jc w:val="both"/>
              <w:rPr>
                <w:rFonts w:eastAsia="Times New Roman" w:cstheme="minorHAnsi"/>
                <w:sz w:val="24"/>
                <w:szCs w:val="24"/>
                <w:lang w:val="en-US"/>
              </w:rPr>
            </w:pPr>
            <w:r w:rsidRPr="00AA7901">
              <w:rPr>
                <w:rFonts w:cstheme="minorHAnsi"/>
                <w:sz w:val="24"/>
                <w:szCs w:val="24"/>
              </w:rPr>
              <w:lastRenderedPageBreak/>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54E560AE" w14:textId="77777777" w:rsidR="006E1AE2" w:rsidRPr="00AA7901" w:rsidRDefault="006E1AE2" w:rsidP="00581DD8">
            <w:pPr>
              <w:rPr>
                <w:rFonts w:cstheme="minorHAnsi"/>
                <w:sz w:val="24"/>
                <w:szCs w:val="24"/>
              </w:rPr>
            </w:pPr>
          </w:p>
        </w:tc>
      </w:tr>
      <w:tr w:rsidR="00F123FB" w:rsidRPr="00AA7901" w14:paraId="54E560BB" w14:textId="77777777" w:rsidTr="00F123FB">
        <w:tc>
          <w:tcPr>
            <w:tcW w:w="5221" w:type="dxa"/>
            <w:shd w:val="clear" w:color="auto" w:fill="BFBFBF" w:themeFill="background1" w:themeFillShade="BF"/>
          </w:tcPr>
          <w:p w14:paraId="54E560B0" w14:textId="77777777" w:rsidR="00F123FB" w:rsidRPr="00AA7901" w:rsidRDefault="00F123FB" w:rsidP="005A6590">
            <w:pPr>
              <w:rPr>
                <w:rFonts w:cstheme="minorHAnsi"/>
                <w:sz w:val="24"/>
                <w:szCs w:val="24"/>
              </w:rPr>
            </w:pPr>
            <w:r w:rsidRPr="00AA7901">
              <w:rPr>
                <w:rFonts w:cstheme="minorHAnsi"/>
                <w:sz w:val="24"/>
                <w:szCs w:val="24"/>
              </w:rPr>
              <w:lastRenderedPageBreak/>
              <w:t>Leadership Behaviours</w:t>
            </w:r>
          </w:p>
          <w:p w14:paraId="54E560B1" w14:textId="77777777" w:rsidR="00F123FB" w:rsidRPr="00AA7901" w:rsidRDefault="00F123FB" w:rsidP="005A6590">
            <w:pPr>
              <w:rPr>
                <w:rFonts w:cstheme="minorHAnsi"/>
                <w:sz w:val="24"/>
                <w:szCs w:val="24"/>
              </w:rPr>
            </w:pPr>
          </w:p>
          <w:p w14:paraId="54E560B2" w14:textId="77777777" w:rsidR="00F123FB" w:rsidRPr="00AA7901" w:rsidRDefault="00F123FB" w:rsidP="005A6590">
            <w:pPr>
              <w:rPr>
                <w:rFonts w:cstheme="minorHAnsi"/>
                <w:sz w:val="24"/>
                <w:szCs w:val="24"/>
              </w:rPr>
            </w:pPr>
          </w:p>
          <w:p w14:paraId="54E560B3" w14:textId="77777777" w:rsidR="00F123FB" w:rsidRPr="00AA7901" w:rsidRDefault="00F123FB" w:rsidP="005A6590">
            <w:pPr>
              <w:rPr>
                <w:rFonts w:cstheme="minorHAnsi"/>
                <w:sz w:val="24"/>
                <w:szCs w:val="24"/>
              </w:rPr>
            </w:pPr>
          </w:p>
          <w:p w14:paraId="54E560B4" w14:textId="77777777" w:rsidR="00F123FB" w:rsidRPr="00AA7901" w:rsidRDefault="00F123FB" w:rsidP="005A6590">
            <w:pPr>
              <w:rPr>
                <w:rFonts w:cstheme="minorHAnsi"/>
                <w:sz w:val="24"/>
                <w:szCs w:val="24"/>
              </w:rPr>
            </w:pPr>
          </w:p>
        </w:tc>
        <w:tc>
          <w:tcPr>
            <w:tcW w:w="9663" w:type="dxa"/>
            <w:gridSpan w:val="2"/>
          </w:tcPr>
          <w:p w14:paraId="54E560B5" w14:textId="77777777" w:rsidR="00581DD8" w:rsidRPr="00AA7901" w:rsidRDefault="00581DD8" w:rsidP="00C153C4">
            <w:pPr>
              <w:jc w:val="both"/>
              <w:rPr>
                <w:rFonts w:eastAsia="Times New Roman" w:cstheme="minorHAnsi"/>
                <w:sz w:val="24"/>
                <w:szCs w:val="24"/>
                <w:lang w:val="en-US"/>
              </w:rPr>
            </w:pPr>
            <w:r w:rsidRPr="00AA7901">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54E560B6" w14:textId="77777777" w:rsidR="00581DD8" w:rsidRPr="00AA7901" w:rsidRDefault="00581DD8" w:rsidP="00581DD8">
            <w:pPr>
              <w:ind w:left="720"/>
              <w:rPr>
                <w:rFonts w:eastAsia="Times New Roman" w:cstheme="minorHAnsi"/>
                <w:sz w:val="24"/>
                <w:szCs w:val="24"/>
                <w:lang w:val="en-US"/>
              </w:rPr>
            </w:pPr>
          </w:p>
          <w:p w14:paraId="54E560B7" w14:textId="77777777" w:rsidR="00581DD8" w:rsidRPr="00AA7901" w:rsidRDefault="00581DD8" w:rsidP="00C153C4">
            <w:pPr>
              <w:rPr>
                <w:rFonts w:eastAsia="Times New Roman" w:cstheme="minorHAnsi"/>
                <w:sz w:val="24"/>
                <w:szCs w:val="24"/>
                <w:lang w:val="en-US"/>
              </w:rPr>
            </w:pPr>
            <w:r w:rsidRPr="00AA7901">
              <w:rPr>
                <w:rFonts w:eastAsia="Times New Roman" w:cstheme="minorHAnsi"/>
                <w:sz w:val="24"/>
                <w:szCs w:val="24"/>
                <w:lang w:val="en-US"/>
              </w:rPr>
              <w:t>All managerial and supervisory posts will ensure compliance with Trust policies and procedures and clinical guidelines.</w:t>
            </w:r>
          </w:p>
          <w:p w14:paraId="54E560B8" w14:textId="77777777" w:rsidR="00581DD8" w:rsidRPr="00AA7901" w:rsidRDefault="00581DD8" w:rsidP="00581DD8">
            <w:pPr>
              <w:ind w:left="720"/>
              <w:jc w:val="both"/>
              <w:rPr>
                <w:rFonts w:eastAsia="Times New Roman" w:cstheme="minorHAnsi"/>
                <w:sz w:val="24"/>
                <w:szCs w:val="24"/>
              </w:rPr>
            </w:pPr>
          </w:p>
          <w:p w14:paraId="54E560B9" w14:textId="77777777" w:rsidR="00581DD8" w:rsidRPr="00AA7901" w:rsidRDefault="00581DD8" w:rsidP="00C153C4">
            <w:pPr>
              <w:jc w:val="both"/>
              <w:rPr>
                <w:rFonts w:eastAsia="Times New Roman" w:cstheme="minorHAnsi"/>
                <w:sz w:val="24"/>
                <w:szCs w:val="24"/>
                <w:lang w:val="en-US"/>
              </w:rPr>
            </w:pPr>
            <w:r w:rsidRPr="00AA7901">
              <w:rPr>
                <w:rFonts w:eastAsia="Times New Roman" w:cstheme="minorHAnsi"/>
                <w:sz w:val="24"/>
                <w:szCs w:val="24"/>
                <w:lang w:val="en-US"/>
              </w:rPr>
              <w:t>All managerial and supervisory posts must ensure staff have equal access to career progression and are appraised annually and have a PDP.</w:t>
            </w:r>
          </w:p>
          <w:p w14:paraId="54E560BA" w14:textId="77777777" w:rsidR="006E1AE2" w:rsidRPr="00AA7901"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54E560BD"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430DA"/>
    <w:multiLevelType w:val="hybridMultilevel"/>
    <w:tmpl w:val="73E49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819803">
    <w:abstractNumId w:val="4"/>
  </w:num>
  <w:num w:numId="2" w16cid:durableId="507133137">
    <w:abstractNumId w:val="12"/>
  </w:num>
  <w:num w:numId="3" w16cid:durableId="1733583295">
    <w:abstractNumId w:val="13"/>
  </w:num>
  <w:num w:numId="4" w16cid:durableId="90854149">
    <w:abstractNumId w:val="1"/>
  </w:num>
  <w:num w:numId="5" w16cid:durableId="2088526952">
    <w:abstractNumId w:val="6"/>
  </w:num>
  <w:num w:numId="6" w16cid:durableId="830217045">
    <w:abstractNumId w:val="9"/>
  </w:num>
  <w:num w:numId="7" w16cid:durableId="1056469981">
    <w:abstractNumId w:val="2"/>
  </w:num>
  <w:num w:numId="8" w16cid:durableId="1474056261">
    <w:abstractNumId w:val="16"/>
  </w:num>
  <w:num w:numId="9" w16cid:durableId="1181504655">
    <w:abstractNumId w:val="0"/>
  </w:num>
  <w:num w:numId="10" w16cid:durableId="1533613002">
    <w:abstractNumId w:val="10"/>
  </w:num>
  <w:num w:numId="11" w16cid:durableId="1656639055">
    <w:abstractNumId w:val="3"/>
  </w:num>
  <w:num w:numId="12" w16cid:durableId="254484037">
    <w:abstractNumId w:val="14"/>
  </w:num>
  <w:num w:numId="13" w16cid:durableId="2080515387">
    <w:abstractNumId w:val="15"/>
  </w:num>
  <w:num w:numId="14" w16cid:durableId="1221862562">
    <w:abstractNumId w:val="5"/>
  </w:num>
  <w:num w:numId="15" w16cid:durableId="1888761111">
    <w:abstractNumId w:val="8"/>
  </w:num>
  <w:num w:numId="16" w16cid:durableId="651064777">
    <w:abstractNumId w:val="7"/>
  </w:num>
  <w:num w:numId="17" w16cid:durableId="523711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26B33"/>
    <w:rsid w:val="00027A36"/>
    <w:rsid w:val="000310F9"/>
    <w:rsid w:val="000451D8"/>
    <w:rsid w:val="00063A52"/>
    <w:rsid w:val="000A6F8B"/>
    <w:rsid w:val="000B05BE"/>
    <w:rsid w:val="00106B76"/>
    <w:rsid w:val="00134FE3"/>
    <w:rsid w:val="00157835"/>
    <w:rsid w:val="001D144C"/>
    <w:rsid w:val="00220DE9"/>
    <w:rsid w:val="0023105C"/>
    <w:rsid w:val="002E5F0F"/>
    <w:rsid w:val="0031665F"/>
    <w:rsid w:val="003324EE"/>
    <w:rsid w:val="00337D78"/>
    <w:rsid w:val="003758C5"/>
    <w:rsid w:val="00376AC0"/>
    <w:rsid w:val="00377572"/>
    <w:rsid w:val="00394B02"/>
    <w:rsid w:val="003E2104"/>
    <w:rsid w:val="004224CE"/>
    <w:rsid w:val="00424DF3"/>
    <w:rsid w:val="00435E88"/>
    <w:rsid w:val="004536F6"/>
    <w:rsid w:val="0045557C"/>
    <w:rsid w:val="004757F8"/>
    <w:rsid w:val="004E3DEA"/>
    <w:rsid w:val="005112DC"/>
    <w:rsid w:val="00581DD8"/>
    <w:rsid w:val="005F5796"/>
    <w:rsid w:val="006627C1"/>
    <w:rsid w:val="00692CFE"/>
    <w:rsid w:val="006A05B5"/>
    <w:rsid w:val="006A0B87"/>
    <w:rsid w:val="006D551C"/>
    <w:rsid w:val="006E156E"/>
    <w:rsid w:val="006E1AE2"/>
    <w:rsid w:val="006F3558"/>
    <w:rsid w:val="00747BFD"/>
    <w:rsid w:val="007A41F4"/>
    <w:rsid w:val="007E2352"/>
    <w:rsid w:val="007E335C"/>
    <w:rsid w:val="0080381A"/>
    <w:rsid w:val="008174B8"/>
    <w:rsid w:val="0089165A"/>
    <w:rsid w:val="008E68C0"/>
    <w:rsid w:val="008F255B"/>
    <w:rsid w:val="00901687"/>
    <w:rsid w:val="0091511F"/>
    <w:rsid w:val="009269D9"/>
    <w:rsid w:val="0099444F"/>
    <w:rsid w:val="009B04F2"/>
    <w:rsid w:val="009C7FEC"/>
    <w:rsid w:val="00A44080"/>
    <w:rsid w:val="00A83213"/>
    <w:rsid w:val="00AA7901"/>
    <w:rsid w:val="00AB526E"/>
    <w:rsid w:val="00AB5C7F"/>
    <w:rsid w:val="00AF62E6"/>
    <w:rsid w:val="00B40168"/>
    <w:rsid w:val="00B664CE"/>
    <w:rsid w:val="00B827B9"/>
    <w:rsid w:val="00BC2F54"/>
    <w:rsid w:val="00BC55C1"/>
    <w:rsid w:val="00C153C4"/>
    <w:rsid w:val="00C35736"/>
    <w:rsid w:val="00C3778A"/>
    <w:rsid w:val="00C6238E"/>
    <w:rsid w:val="00C70589"/>
    <w:rsid w:val="00D57EF3"/>
    <w:rsid w:val="00D848CA"/>
    <w:rsid w:val="00E431BD"/>
    <w:rsid w:val="00E93A50"/>
    <w:rsid w:val="00E9567F"/>
    <w:rsid w:val="00EA083D"/>
    <w:rsid w:val="00EC0F77"/>
    <w:rsid w:val="00F123FB"/>
    <w:rsid w:val="00F46BE5"/>
    <w:rsid w:val="00F7025F"/>
    <w:rsid w:val="00F7340F"/>
    <w:rsid w:val="00F74E4C"/>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E5602B"/>
  <w15:docId w15:val="{169599D1-8009-4E3F-BCCC-B13F46BF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8dede2e-567e-4ef4-b49a-5b60bbde79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A1BE755BD000469B62EE3056AC109A" ma:contentTypeVersion="7" ma:contentTypeDescription="Create a new document." ma:contentTypeScope="" ma:versionID="4ec34e7ceaa0089a318c50da0706684f">
  <xsd:schema xmlns:xsd="http://www.w3.org/2001/XMLSchema" xmlns:xs="http://www.w3.org/2001/XMLSchema" xmlns:p="http://schemas.microsoft.com/office/2006/metadata/properties" xmlns:ns2="f8dede2e-567e-4ef4-b49a-5b60bbde79bf" xmlns:ns3="a3ee378a-d350-476b-b745-80c06144db7c" targetNamespace="http://schemas.microsoft.com/office/2006/metadata/properties" ma:root="true" ma:fieldsID="08a47f5b06f0b33cec61a42f8a2308de" ns2:_="" ns3:_="">
    <xsd:import namespace="f8dede2e-567e-4ef4-b49a-5b60bbde79bf"/>
    <xsd:import namespace="a3ee378a-d350-476b-b745-80c06144d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ede2e-567e-4ef4-b49a-5b60bbde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e378a-d350-476b-b745-80c06144d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263C4-AAA6-4349-BD63-DA1B2F7EFFBA}">
  <ds:schemaRefs>
    <ds:schemaRef ds:uri="http://purl.org/dc/elements/1.1/"/>
    <ds:schemaRef ds:uri="http://schemas.microsoft.com/office/2006/metadata/properties"/>
    <ds:schemaRef ds:uri="f8dede2e-567e-4ef4-b49a-5b60bbde79b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3ee378a-d350-476b-b745-80c06144db7c"/>
    <ds:schemaRef ds:uri="http://www.w3.org/XML/1998/namespace"/>
  </ds:schemaRefs>
</ds:datastoreItem>
</file>

<file path=customXml/itemProps2.xml><?xml version="1.0" encoding="utf-8"?>
<ds:datastoreItem xmlns:ds="http://schemas.openxmlformats.org/officeDocument/2006/customXml" ds:itemID="{84C64B0B-6363-435A-A780-C649735CD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ede2e-567e-4ef4-b49a-5b60bbde79bf"/>
    <ds:schemaRef ds:uri="a3ee378a-d350-476b-b745-80c06144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FA1DD-39BD-4034-827E-204B0EE65EEC}">
  <ds:schemaRefs>
    <ds:schemaRef ds:uri="http://schemas.openxmlformats.org/officeDocument/2006/bibliography"/>
  </ds:schemaRefs>
</ds:datastoreItem>
</file>

<file path=customXml/itemProps4.xml><?xml version="1.0" encoding="utf-8"?>
<ds:datastoreItem xmlns:ds="http://schemas.openxmlformats.org/officeDocument/2006/customXml" ds:itemID="{72F2FFC2-AC11-417E-AEDD-F25B3EC7A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2025-10-21T08:43:00Z</dcterms:created>
  <dcterms:modified xsi:type="dcterms:W3CDTF">2025-10-21T08:43:00Z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0x0101003EA1BE755BD000469B62EE3056AC109A</vt:lpwstr>
  </property>
</Properties>
</file>